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E00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0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4696B5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602"/>
      <w:r>
        <w:rPr>
          <w:rFonts w:hint="eastAsia"/>
          <w:lang w:val="en-US" w:eastAsia="zh-CN"/>
        </w:rPr>
        <w:t>硬盘与Redis容量管理报告</w:t>
      </w:r>
      <w:bookmarkEnd w:id="1"/>
    </w:p>
    <w:p w14:paraId="12215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4E18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E7BB7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CED0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5679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18B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1E5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0A67B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DBCF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75851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60E642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B37B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bookmarkStart w:id="2" w:name="_GoBack"/>
            <w:bookmarkEnd w:id="2"/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1184D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1669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19E7F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_Toc16408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F1E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C45E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制度框架与内容评审结论</w:t>
          </w:r>
          <w:r>
            <w:tab/>
          </w:r>
          <w:r>
            <w:fldChar w:fldCharType="begin"/>
          </w:r>
          <w:r>
            <w:instrText xml:space="preserve"> PAGEREF _Toc7838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5D7D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框架完整性确认</w:t>
          </w:r>
          <w:r>
            <w:tab/>
          </w:r>
          <w:r>
            <w:fldChar w:fldCharType="begin"/>
          </w:r>
          <w:r>
            <w:instrText xml:space="preserve"> PAGEREF _Toc87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F964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各制度评审要点与决议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4DA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关键接口与协同关系确认</w:t>
          </w:r>
          <w:r>
            <w:tab/>
          </w:r>
          <w:r>
            <w:fldChar w:fldCharType="begin"/>
          </w:r>
          <w:r>
            <w:instrText xml:space="preserve"> PAGEREF _Toc17325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032F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角色与职责矩阵确认</w:t>
          </w:r>
          <w:r>
            <w:tab/>
          </w:r>
          <w:r>
            <w:fldChar w:fldCharType="begin"/>
          </w:r>
          <w:r>
            <w:instrText xml:space="preserve"> PAGEREF _Toc8086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91B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发现的问题与行动项</w:t>
          </w:r>
          <w:r>
            <w:tab/>
          </w:r>
          <w:r>
            <w:fldChar w:fldCharType="begin"/>
          </w:r>
          <w:r>
            <w:instrText xml:space="preserve"> PAGEREF _Toc2636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4D83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后续工作计划</w:t>
          </w:r>
          <w:r>
            <w:tab/>
          </w:r>
          <w:r>
            <w:fldChar w:fldCharType="begin"/>
          </w:r>
          <w:r>
            <w:instrText xml:space="preserve"> PAGEREF _Toc4489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1278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DC869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4FF341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扩容工程概述</w:t>
      </w:r>
    </w:p>
    <w:p w14:paraId="67619B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为有效支撑公司运维业务的高速增长，保障核心服务平台的稳定运行，根据《核心数据基础设施专项扩容方案》，公司于202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年第二季度起，分阶段对硬盘存储、数据库、Redis缓存集群及应用服务器内存进行了系统性扩容。本报告旨在总结本次扩容工程的实施情况、达成效果及后续运维要点。</w:t>
      </w:r>
    </w:p>
    <w:p w14:paraId="0CD172D7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扩容目标完成情况</w:t>
      </w:r>
    </w:p>
    <w:p w14:paraId="60089F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本次扩容围绕“保障连续性、提升性能、优化成本”三大核心目标展开，各项关键指标达成情况如下：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499"/>
        <w:gridCol w:w="1902"/>
        <w:gridCol w:w="1842"/>
        <w:gridCol w:w="1164"/>
      </w:tblGrid>
      <w:tr w14:paraId="47746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978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扩容组件</w:t>
            </w:r>
          </w:p>
        </w:tc>
        <w:tc>
          <w:tcPr>
            <w:tcW w:w="249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2B3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目标指标</w:t>
            </w:r>
          </w:p>
        </w:tc>
        <w:tc>
          <w:tcPr>
            <w:tcW w:w="19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B50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扩容前状态</w:t>
            </w:r>
          </w:p>
        </w:tc>
        <w:tc>
          <w:tcPr>
            <w:tcW w:w="18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C1C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扩容后状态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F817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</w:t>
            </w:r>
          </w:p>
        </w:tc>
      </w:tr>
      <w:tr w14:paraId="65380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E47B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硬盘存储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72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使用率降至70%以下，并满足12个月增长需求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1D9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总使用率82%，监控分区91%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9FD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总使用率58%，新架构弹性扩展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F9F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超额完成</w:t>
            </w:r>
          </w:p>
        </w:tc>
      </w:tr>
      <w:tr w14:paraId="5338E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57E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数据库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45D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连接数峰值利用率&lt;70%，查询P95响应时间优化20%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27D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连接数峰值85%，P95响应时间1.2s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99F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连接数峰值62%，P95响应时间0.8s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4867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全面达成</w:t>
            </w:r>
          </w:p>
        </w:tc>
      </w:tr>
      <w:tr w14:paraId="22BF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5347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Redis集群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A38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内存使用率稳定在65%以下，消除逐出告警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7E7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使用率&gt;80%，频繁告警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E45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使用率60%，零逐出事件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A798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全面达成</w:t>
            </w:r>
          </w:p>
        </w:tc>
      </w:tr>
      <w:tr w14:paraId="2460F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52D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应用服务器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166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消除SWAP使用，应用平均响应时间提升15%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8B0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SWAP使用率5-10%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E02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SWAP使用率0%，响应时间提升18%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9AF4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全面达成</w:t>
            </w:r>
          </w:p>
        </w:tc>
      </w:tr>
    </w:tbl>
    <w:p w14:paraId="270972D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详细实施成果</w:t>
      </w:r>
    </w:p>
    <w:p w14:paraId="18253EE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第一阶段：紧急扩容（4月-5月）</w:t>
      </w:r>
    </w:p>
    <w:p w14:paraId="07F386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30B8C7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采购并部署 30TB 高性能混合存储，优先解决监控日志分区爆满危机。</w:t>
      </w:r>
    </w:p>
    <w:p w14:paraId="009D84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Redis集群内存从64GB在线扩容至128GB，采用集群模式增加两个新节点。</w:t>
      </w:r>
    </w:p>
    <w:p w14:paraId="76C98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4台核心应用服务器 进行内存升级（64GB → 128GB）。</w:t>
      </w:r>
    </w:p>
    <w:p w14:paraId="21C781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451E71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高危存储告警在 48小时 内消除。</w:t>
      </w:r>
    </w:p>
    <w:p w14:paraId="3F863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业务高峰期的Redis缓存命中率从88%提升至94%，会话丢失投诉降为零。</w:t>
      </w:r>
    </w:p>
    <w:p w14:paraId="58091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监控数据采集延迟降低40%。</w:t>
      </w:r>
    </w:p>
    <w:p w14:paraId="57CD80A6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第二阶段：架构优化（6月-9月）</w:t>
      </w:r>
    </w:p>
    <w:p w14:paraId="0F9280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3CD13F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数据库读写分离部署： 成功搭建1主2从架构，将报表查询、知识库检索等读操作引流至从库。</w:t>
      </w:r>
    </w:p>
    <w:p w14:paraId="398188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存储分层策略落地： 制定并执行数据生命周期策略，将超过90天的监控详细数据自动迁移至大容量SATA存储池，释放高性能存储空间。</w:t>
      </w:r>
    </w:p>
    <w:p w14:paraId="30B32B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Redis分片集群改造： 将原主从模式升级为官方的Cluster分片模式，数据分片分布在6个主节点上。</w:t>
      </w:r>
    </w:p>
    <w:p w14:paraId="2FE564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04BB73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数据库主库写压力下降35%，从库资源利用率稳定在50%。</w:t>
      </w:r>
    </w:p>
    <w:p w14:paraId="3E5F42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存储总体成本（TCO）估算优化约25%。</w:t>
      </w:r>
    </w:p>
    <w:p w14:paraId="54A2E0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Redis集群的横向扩展能力与故障隔离性显著增强。</w:t>
      </w:r>
    </w:p>
    <w:p w14:paraId="7F9EAB17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第三阶段：全面升级与收尾（10月-11月）</w:t>
      </w:r>
    </w:p>
    <w:p w14:paraId="0BEEC0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068846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分布式存储（Ceph）试点部署：完成一个包含30TB可用容量的Ceph集群搭建，并开始承接非关键业务的温数据存储。</w:t>
      </w:r>
    </w:p>
    <w:p w14:paraId="37B8BD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容量监控与预测模型建立：在统一监控平台中集成基础设施容量看板，实现对存储、内存、数据库增长趋势的预测分析。</w:t>
      </w:r>
    </w:p>
    <w:p w14:paraId="2D9C5D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文档与知识入库：将本次扩容的所有技术方案、操作手册、故障预案录入公司运维知识库。</w:t>
      </w:r>
    </w:p>
    <w:p w14:paraId="47296C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067855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为未来存储的“池化”管理与弹性扩展奠定了技术基础。</w:t>
      </w:r>
    </w:p>
    <w:p w14:paraId="46F580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实现了从“被动响应告警”到“主动预测扩容”的运维模式转变。</w:t>
      </w:r>
    </w:p>
    <w:p w14:paraId="1CB6C53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性能与效益分析</w:t>
      </w:r>
    </w:p>
    <w:p w14:paraId="126A8C9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性能提升</w:t>
      </w:r>
    </w:p>
    <w:p w14:paraId="0798A9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系统整体响应：核心运维平台（服务台、知识库）的平均页面加载时间缩短 22%。</w:t>
      </w:r>
    </w:p>
    <w:p w14:paraId="5A361E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数据处理能力：夜间批量作业（如日志分析、报表生成）的完成时间平均减少 33%。</w:t>
      </w:r>
    </w:p>
    <w:p w14:paraId="78EE9F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并发支撑：已验证系统可稳定支持 50% 以上的并发用户增长，达到设计目标。</w:t>
      </w:r>
    </w:p>
    <w:p w14:paraId="001D444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</w:t>
      </w:r>
    </w:p>
    <w:p w14:paraId="689CE3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直接成本：本次扩容硬件及软件采购总投入约为18.5万元，控制在预算（19.7万元）范围内。</w:t>
      </w:r>
    </w:p>
    <w:p w14:paraId="47826F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隐性收益：通过预防可能因容量不足导致的业务中断，估算规避潜在损失超过50万元。效率提升折算为人力节省，年化价值约20万元。</w:t>
      </w:r>
    </w:p>
    <w:p w14:paraId="24E8E2E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运维效能改进</w:t>
      </w:r>
    </w:p>
    <w:p w14:paraId="4E16E2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告警减少：基础设施相关的P3/P4级告警数量下降 70%。</w:t>
      </w:r>
    </w:p>
    <w:p w14:paraId="0B6905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管理可视化：新的容量看板使资源规划决策更具数据支撑。</w:t>
      </w:r>
    </w:p>
    <w:p w14:paraId="47F206B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经验总结与后续建议</w:t>
      </w:r>
    </w:p>
    <w:p w14:paraId="645D7B0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主要经验</w:t>
      </w:r>
    </w:p>
    <w:p w14:paraId="617E07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分阶段、滚动实施的策略 有效控制了风险，保障了业务连续性。</w:t>
      </w:r>
    </w:p>
    <w:p w14:paraId="5A354F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“架构优化”与“单纯扩容”相结合，取得了比单纯增加硬件更好的长期效益。</w:t>
      </w:r>
    </w:p>
    <w:p w14:paraId="4F8852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前期充分的测试验证（尤其是Redis在线重分片和数据库主从切换）是成功的关键。</w:t>
      </w:r>
    </w:p>
    <w:p w14:paraId="4EA33D3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后续建议</w:t>
      </w:r>
    </w:p>
    <w:p w14:paraId="6D366B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常态化容量管理：建议每季度例行审查容量预测报告，将基础设施规划纳入公司年度预算流程。</w:t>
      </w:r>
    </w:p>
    <w:p w14:paraId="53D5EE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技术债偿还：本次扩容暴露了部分老旧应用对资源规划不足的问题，建议由研究总院牵头，推动应用架构的现代化改造。</w:t>
      </w:r>
    </w:p>
    <w:p w14:paraId="0377F8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技能提升：建议组织关于“分布式存储管理”、“数据库深度调优”的内部分享或培训，提升整体团队的技术纵深。</w:t>
      </w:r>
    </w:p>
    <w:p w14:paraId="27F5CB4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5E41D6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核心数据基础设施扩容工程已按计划圆满完成，不仅解决了当前的容量危机，更通过架构优化提升了系统的整体弹性、性能与可运维性，为公司未来一到两年的业务发展提供了坚实可靠的基础设施保障。项目达到了预期目标，投资回报显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E48F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410AB"/>
    <w:rsid w:val="03795BF7"/>
    <w:rsid w:val="045D5BC2"/>
    <w:rsid w:val="0613353C"/>
    <w:rsid w:val="061A5470"/>
    <w:rsid w:val="064E5119"/>
    <w:rsid w:val="06AE7ADB"/>
    <w:rsid w:val="08C416C3"/>
    <w:rsid w:val="0A556F05"/>
    <w:rsid w:val="0C000C64"/>
    <w:rsid w:val="0FE97C04"/>
    <w:rsid w:val="1AF32FC7"/>
    <w:rsid w:val="1B9D139C"/>
    <w:rsid w:val="1CF814E3"/>
    <w:rsid w:val="1DA358F3"/>
    <w:rsid w:val="1E1E5B4E"/>
    <w:rsid w:val="1E971C7C"/>
    <w:rsid w:val="1EFD04B3"/>
    <w:rsid w:val="1F4541CC"/>
    <w:rsid w:val="201E5705"/>
    <w:rsid w:val="2099444D"/>
    <w:rsid w:val="25586F13"/>
    <w:rsid w:val="29D63E6D"/>
    <w:rsid w:val="2A176009"/>
    <w:rsid w:val="2A2953D2"/>
    <w:rsid w:val="3091782D"/>
    <w:rsid w:val="31B639EF"/>
    <w:rsid w:val="31FE610F"/>
    <w:rsid w:val="33D01A3F"/>
    <w:rsid w:val="358D0068"/>
    <w:rsid w:val="35BA7826"/>
    <w:rsid w:val="374A0346"/>
    <w:rsid w:val="3810372D"/>
    <w:rsid w:val="39A42C10"/>
    <w:rsid w:val="406F733A"/>
    <w:rsid w:val="408D6263"/>
    <w:rsid w:val="48E22EC4"/>
    <w:rsid w:val="4AA04DE4"/>
    <w:rsid w:val="4F133DD7"/>
    <w:rsid w:val="548359C3"/>
    <w:rsid w:val="56E524FD"/>
    <w:rsid w:val="5C3654BB"/>
    <w:rsid w:val="5CA0214F"/>
    <w:rsid w:val="61891CD7"/>
    <w:rsid w:val="6202713E"/>
    <w:rsid w:val="63095B45"/>
    <w:rsid w:val="6390263C"/>
    <w:rsid w:val="674F5770"/>
    <w:rsid w:val="676F1571"/>
    <w:rsid w:val="681E5697"/>
    <w:rsid w:val="6A0E1913"/>
    <w:rsid w:val="6A714B0D"/>
    <w:rsid w:val="6AA716B4"/>
    <w:rsid w:val="6B08210E"/>
    <w:rsid w:val="6C4C04D0"/>
    <w:rsid w:val="6CD02EB0"/>
    <w:rsid w:val="6FB865A9"/>
    <w:rsid w:val="6FE078AE"/>
    <w:rsid w:val="71FA0BD5"/>
    <w:rsid w:val="754D1541"/>
    <w:rsid w:val="757C5746"/>
    <w:rsid w:val="7671125F"/>
    <w:rsid w:val="77CD702C"/>
    <w:rsid w:val="7829776C"/>
    <w:rsid w:val="79A436FA"/>
    <w:rsid w:val="7B407452"/>
    <w:rsid w:val="7B4231CA"/>
    <w:rsid w:val="7D256900"/>
    <w:rsid w:val="7E1C5F55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1864</Words>
  <Characters>2097</Characters>
  <Lines>0</Lines>
  <Paragraphs>0</Paragraphs>
  <TotalTime>0</TotalTime>
  <ScaleCrop>false</ScaleCrop>
  <LinksUpToDate>false</LinksUpToDate>
  <CharactersWithSpaces>2154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