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F5869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82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1412D4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6381"/>
      <w:r>
        <w:rPr>
          <w:rFonts w:hint="eastAsia"/>
          <w:lang w:val="en-US" w:eastAsia="zh-CN"/>
        </w:rPr>
        <w:t>运维服务技术研发规划</w:t>
      </w:r>
      <w:bookmarkEnd w:id="1"/>
    </w:p>
    <w:p w14:paraId="415A669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9D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270A28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研究总院</w:t>
            </w:r>
          </w:p>
        </w:tc>
        <w:tc>
          <w:tcPr>
            <w:tcW w:w="2708" w:type="dxa"/>
          </w:tcPr>
          <w:p w14:paraId="5AB677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828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8FDA7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206FCA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2D1D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3B440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1BC515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58E0F98">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5DCBB8AD">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熊发云</w:t>
            </w:r>
          </w:p>
        </w:tc>
        <w:tc>
          <w:tcPr>
            <w:tcW w:w="1606" w:type="dxa"/>
          </w:tcPr>
          <w:p w14:paraId="57AC437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1D4CE6E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D53B73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F322751">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_Toc20824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_Toc20824 \h </w:instrText>
          </w:r>
          <w:r>
            <w:fldChar w:fldCharType="separate"/>
          </w:r>
          <w:r>
            <w:t>1</w:t>
          </w:r>
          <w:r>
            <w:fldChar w:fldCharType="end"/>
          </w:r>
          <w:r>
            <w:rPr>
              <w:rFonts w:hint="eastAsia" w:ascii="宋体" w:hAnsi="宋体" w:eastAsia="宋体" w:cs="宋体"/>
              <w:szCs w:val="24"/>
            </w:rPr>
            <w:fldChar w:fldCharType="end"/>
          </w:r>
        </w:p>
        <w:p w14:paraId="19289C8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_Toc26381 </w:instrText>
          </w:r>
          <w:r>
            <w:rPr>
              <w:rFonts w:hint="eastAsia" w:ascii="宋体" w:hAnsi="宋体" w:eastAsia="宋体" w:cs="宋体"/>
              <w:szCs w:val="24"/>
            </w:rPr>
            <w:fldChar w:fldCharType="separate"/>
          </w:r>
          <w:r>
            <w:rPr>
              <w:rFonts w:hint="eastAsia"/>
              <w:lang w:val="en-US" w:eastAsia="zh-CN"/>
            </w:rPr>
            <w:t>运维服务技术研发规划</w:t>
          </w:r>
          <w:r>
            <w:tab/>
          </w:r>
          <w:r>
            <w:fldChar w:fldCharType="begin"/>
          </w:r>
          <w:r>
            <w:instrText xml:space="preserve"> PAGEREF _Toc26381 \h </w:instrText>
          </w:r>
          <w:r>
            <w:fldChar w:fldCharType="separate"/>
          </w:r>
          <w:r>
            <w:t>1</w:t>
          </w:r>
          <w:r>
            <w:fldChar w:fldCharType="end"/>
          </w:r>
          <w:r>
            <w:rPr>
              <w:rFonts w:hint="eastAsia" w:ascii="宋体" w:hAnsi="宋体" w:eastAsia="宋体" w:cs="宋体"/>
              <w:szCs w:val="24"/>
            </w:rPr>
            <w:fldChar w:fldCharType="end"/>
          </w:r>
        </w:p>
        <w:p w14:paraId="283EAB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_Toc15679 </w:instrText>
          </w:r>
          <w:r>
            <w:rPr>
              <w:rFonts w:hint="eastAsia" w:ascii="宋体" w:hAnsi="宋体" w:eastAsia="宋体" w:cs="宋体"/>
              <w:szCs w:val="24"/>
            </w:rPr>
            <w:fldChar w:fldCharType="separate"/>
          </w:r>
          <w:r>
            <w:rPr>
              <w:rFonts w:hint="default"/>
              <w:lang w:val="en-US" w:eastAsia="zh-CN"/>
            </w:rPr>
            <w:t>1. 概述</w:t>
          </w:r>
          <w:r>
            <w:tab/>
          </w:r>
          <w:r>
            <w:fldChar w:fldCharType="begin"/>
          </w:r>
          <w:r>
            <w:instrText xml:space="preserve"> PAGEREF _Toc15679 \h </w:instrText>
          </w:r>
          <w:r>
            <w:fldChar w:fldCharType="separate"/>
          </w:r>
          <w:r>
            <w:t>4</w:t>
          </w:r>
          <w:r>
            <w:fldChar w:fldCharType="end"/>
          </w:r>
          <w:r>
            <w:rPr>
              <w:rFonts w:hint="eastAsia" w:ascii="宋体" w:hAnsi="宋体" w:eastAsia="宋体" w:cs="宋体"/>
              <w:szCs w:val="24"/>
            </w:rPr>
            <w:fldChar w:fldCharType="end"/>
          </w:r>
        </w:p>
        <w:p w14:paraId="740959C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_Toc19555 </w:instrText>
          </w:r>
          <w:r>
            <w:rPr>
              <w:rFonts w:hint="eastAsia" w:ascii="宋体" w:hAnsi="宋体" w:eastAsia="宋体" w:cs="宋体"/>
              <w:szCs w:val="24"/>
            </w:rPr>
            <w:fldChar w:fldCharType="separate"/>
          </w:r>
          <w:r>
            <w:rPr>
              <w:rFonts w:hint="default"/>
              <w:lang w:val="en-US" w:eastAsia="zh-CN"/>
            </w:rPr>
            <w:t>2. 总体规划</w:t>
          </w:r>
          <w:r>
            <w:tab/>
          </w:r>
          <w:r>
            <w:fldChar w:fldCharType="begin"/>
          </w:r>
          <w:r>
            <w:instrText xml:space="preserve"> PAGEREF _Toc19555 \h </w:instrText>
          </w:r>
          <w:r>
            <w:fldChar w:fldCharType="separate"/>
          </w:r>
          <w:r>
            <w:t>4</w:t>
          </w:r>
          <w:r>
            <w:fldChar w:fldCharType="end"/>
          </w:r>
          <w:r>
            <w:rPr>
              <w:rFonts w:hint="eastAsia" w:ascii="宋体" w:hAnsi="宋体" w:eastAsia="宋体" w:cs="宋体"/>
              <w:szCs w:val="24"/>
            </w:rPr>
            <w:fldChar w:fldCharType="end"/>
          </w:r>
        </w:p>
        <w:p w14:paraId="6F4098E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_Toc8890 </w:instrText>
          </w:r>
          <w:r>
            <w:rPr>
              <w:rFonts w:hint="eastAsia" w:ascii="宋体" w:hAnsi="宋体" w:eastAsia="宋体" w:cs="宋体"/>
              <w:szCs w:val="24"/>
            </w:rPr>
            <w:fldChar w:fldCharType="separate"/>
          </w:r>
          <w:r>
            <w:rPr>
              <w:rFonts w:hint="default"/>
              <w:lang w:val="en-US" w:eastAsia="zh-CN"/>
            </w:rPr>
            <w:t>3. 智能服务管理与分析平台项目</w:t>
          </w:r>
          <w:r>
            <w:tab/>
          </w:r>
          <w:r>
            <w:fldChar w:fldCharType="begin"/>
          </w:r>
          <w:r>
            <w:instrText xml:space="preserve"> PAGEREF _Toc8890 \h </w:instrText>
          </w:r>
          <w:r>
            <w:fldChar w:fldCharType="separate"/>
          </w:r>
          <w:r>
            <w:t>4</w:t>
          </w:r>
          <w:r>
            <w:fldChar w:fldCharType="end"/>
          </w:r>
          <w:r>
            <w:rPr>
              <w:rFonts w:hint="eastAsia" w:ascii="宋体" w:hAnsi="宋体" w:eastAsia="宋体" w:cs="宋体"/>
              <w:szCs w:val="24"/>
            </w:rPr>
            <w:fldChar w:fldCharType="end"/>
          </w:r>
        </w:p>
        <w:p w14:paraId="35CCE4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_Toc10650 </w:instrText>
          </w:r>
          <w:r>
            <w:rPr>
              <w:rFonts w:hint="eastAsia" w:ascii="宋体" w:hAnsi="宋体" w:eastAsia="宋体" w:cs="宋体"/>
              <w:szCs w:val="24"/>
            </w:rPr>
            <w:fldChar w:fldCharType="separate"/>
          </w:r>
          <w:r>
            <w:rPr>
              <w:rFonts w:hint="default"/>
              <w:lang w:val="en-US" w:eastAsia="zh-CN"/>
            </w:rPr>
            <w:t>3.1. 研发目标</w:t>
          </w:r>
          <w:r>
            <w:tab/>
          </w:r>
          <w:r>
            <w:fldChar w:fldCharType="begin"/>
          </w:r>
          <w:r>
            <w:instrText xml:space="preserve"> PAGEREF _Toc10650 \h </w:instrText>
          </w:r>
          <w:r>
            <w:fldChar w:fldCharType="separate"/>
          </w:r>
          <w:r>
            <w:t>4</w:t>
          </w:r>
          <w:r>
            <w:fldChar w:fldCharType="end"/>
          </w:r>
          <w:r>
            <w:rPr>
              <w:rFonts w:hint="eastAsia" w:ascii="宋体" w:hAnsi="宋体" w:eastAsia="宋体" w:cs="宋体"/>
              <w:szCs w:val="24"/>
            </w:rPr>
            <w:fldChar w:fldCharType="end"/>
          </w:r>
        </w:p>
        <w:p w14:paraId="29DAE7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_Toc30650 </w:instrText>
          </w:r>
          <w:r>
            <w:rPr>
              <w:rFonts w:hint="eastAsia" w:ascii="宋体" w:hAnsi="宋体" w:eastAsia="宋体" w:cs="宋体"/>
              <w:szCs w:val="24"/>
            </w:rPr>
            <w:fldChar w:fldCharType="separate"/>
          </w:r>
          <w:r>
            <w:rPr>
              <w:rFonts w:hint="default"/>
              <w:lang w:val="en-US" w:eastAsia="zh-CN"/>
            </w:rPr>
            <w:t>3.2. 研发内容</w:t>
          </w:r>
          <w:r>
            <w:tab/>
          </w:r>
          <w:r>
            <w:fldChar w:fldCharType="begin"/>
          </w:r>
          <w:r>
            <w:instrText xml:space="preserve"> PAGEREF _Toc30650 \h </w:instrText>
          </w:r>
          <w:r>
            <w:fldChar w:fldCharType="separate"/>
          </w:r>
          <w:r>
            <w:t>5</w:t>
          </w:r>
          <w:r>
            <w:fldChar w:fldCharType="end"/>
          </w:r>
          <w:r>
            <w:rPr>
              <w:rFonts w:hint="eastAsia" w:ascii="宋体" w:hAnsi="宋体" w:eastAsia="宋体" w:cs="宋体"/>
              <w:szCs w:val="24"/>
            </w:rPr>
            <w:fldChar w:fldCharType="end"/>
          </w:r>
        </w:p>
        <w:p w14:paraId="7B65DD6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_Toc9163 </w:instrText>
          </w:r>
          <w:r>
            <w:rPr>
              <w:rFonts w:hint="eastAsia" w:ascii="宋体" w:hAnsi="宋体" w:eastAsia="宋体" w:cs="宋体"/>
              <w:szCs w:val="24"/>
            </w:rPr>
            <w:fldChar w:fldCharType="separate"/>
          </w:r>
          <w:r>
            <w:rPr>
              <w:rFonts w:hint="default"/>
              <w:lang w:val="en-US" w:eastAsia="zh-CN"/>
            </w:rPr>
            <w:t>3.3. 研发团队</w:t>
          </w:r>
          <w:r>
            <w:tab/>
          </w:r>
          <w:r>
            <w:fldChar w:fldCharType="begin"/>
          </w:r>
          <w:r>
            <w:instrText xml:space="preserve"> PAGEREF _Toc9163 \h </w:instrText>
          </w:r>
          <w:r>
            <w:fldChar w:fldCharType="separate"/>
          </w:r>
          <w:r>
            <w:t>5</w:t>
          </w:r>
          <w:r>
            <w:fldChar w:fldCharType="end"/>
          </w:r>
          <w:r>
            <w:rPr>
              <w:rFonts w:hint="eastAsia" w:ascii="宋体" w:hAnsi="宋体" w:eastAsia="宋体" w:cs="宋体"/>
              <w:szCs w:val="24"/>
            </w:rPr>
            <w:fldChar w:fldCharType="end"/>
          </w:r>
        </w:p>
        <w:p w14:paraId="3E8357D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_Toc24633 </w:instrText>
          </w:r>
          <w:r>
            <w:rPr>
              <w:rFonts w:hint="eastAsia" w:ascii="宋体" w:hAnsi="宋体" w:eastAsia="宋体" w:cs="宋体"/>
              <w:szCs w:val="24"/>
            </w:rPr>
            <w:fldChar w:fldCharType="separate"/>
          </w:r>
          <w:r>
            <w:rPr>
              <w:rFonts w:hint="default"/>
              <w:lang w:val="en-US" w:eastAsia="zh-CN"/>
            </w:rPr>
            <w:t>3.4. 研发环境</w:t>
          </w:r>
          <w:r>
            <w:tab/>
          </w:r>
          <w:r>
            <w:fldChar w:fldCharType="begin"/>
          </w:r>
          <w:r>
            <w:instrText xml:space="preserve"> PAGEREF _Toc24633 \h </w:instrText>
          </w:r>
          <w:r>
            <w:fldChar w:fldCharType="separate"/>
          </w:r>
          <w:r>
            <w:t>5</w:t>
          </w:r>
          <w:r>
            <w:fldChar w:fldCharType="end"/>
          </w:r>
          <w:r>
            <w:rPr>
              <w:rFonts w:hint="eastAsia" w:ascii="宋体" w:hAnsi="宋体" w:eastAsia="宋体" w:cs="宋体"/>
              <w:szCs w:val="24"/>
            </w:rPr>
            <w:fldChar w:fldCharType="end"/>
          </w:r>
        </w:p>
        <w:p w14:paraId="2F79795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_Toc7487 </w:instrText>
          </w:r>
          <w:r>
            <w:rPr>
              <w:rFonts w:hint="eastAsia" w:ascii="宋体" w:hAnsi="宋体" w:eastAsia="宋体" w:cs="宋体"/>
              <w:szCs w:val="24"/>
            </w:rPr>
            <w:fldChar w:fldCharType="separate"/>
          </w:r>
          <w:r>
            <w:rPr>
              <w:rFonts w:hint="default"/>
              <w:lang w:val="en-US" w:eastAsia="zh-CN"/>
            </w:rPr>
            <w:t>3.5. 研发进度</w:t>
          </w:r>
          <w:r>
            <w:tab/>
          </w:r>
          <w:r>
            <w:fldChar w:fldCharType="begin"/>
          </w:r>
          <w:r>
            <w:instrText xml:space="preserve"> PAGEREF _Toc7487 \h </w:instrText>
          </w:r>
          <w:r>
            <w:fldChar w:fldCharType="separate"/>
          </w:r>
          <w:r>
            <w:t>6</w:t>
          </w:r>
          <w:r>
            <w:fldChar w:fldCharType="end"/>
          </w:r>
          <w:r>
            <w:rPr>
              <w:rFonts w:hint="eastAsia" w:ascii="宋体" w:hAnsi="宋体" w:eastAsia="宋体" w:cs="宋体"/>
              <w:szCs w:val="24"/>
            </w:rPr>
            <w:fldChar w:fldCharType="end"/>
          </w:r>
        </w:p>
        <w:p w14:paraId="44270A3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_Toc12968 </w:instrText>
          </w:r>
          <w:r>
            <w:rPr>
              <w:rFonts w:hint="eastAsia" w:ascii="宋体" w:hAnsi="宋体" w:eastAsia="宋体" w:cs="宋体"/>
              <w:szCs w:val="24"/>
            </w:rPr>
            <w:fldChar w:fldCharType="separate"/>
          </w:r>
          <w:r>
            <w:rPr>
              <w:rFonts w:hint="default"/>
              <w:lang w:val="en-US" w:eastAsia="zh-CN"/>
            </w:rPr>
            <w:t>4. 场景化知识库与智能辅助系统研发</w:t>
          </w:r>
          <w:r>
            <w:tab/>
          </w:r>
          <w:r>
            <w:fldChar w:fldCharType="begin"/>
          </w:r>
          <w:r>
            <w:instrText xml:space="preserve"> PAGEREF _Toc12968 \h </w:instrText>
          </w:r>
          <w:r>
            <w:fldChar w:fldCharType="separate"/>
          </w:r>
          <w:r>
            <w:t>6</w:t>
          </w:r>
          <w:r>
            <w:fldChar w:fldCharType="end"/>
          </w:r>
          <w:r>
            <w:rPr>
              <w:rFonts w:hint="eastAsia" w:ascii="宋体" w:hAnsi="宋体" w:eastAsia="宋体" w:cs="宋体"/>
              <w:szCs w:val="24"/>
            </w:rPr>
            <w:fldChar w:fldCharType="end"/>
          </w:r>
        </w:p>
        <w:p w14:paraId="21E7BA7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_Toc25264 </w:instrText>
          </w:r>
          <w:r>
            <w:rPr>
              <w:rFonts w:hint="eastAsia" w:ascii="宋体" w:hAnsi="宋体" w:eastAsia="宋体" w:cs="宋体"/>
              <w:szCs w:val="24"/>
            </w:rPr>
            <w:fldChar w:fldCharType="separate"/>
          </w:r>
          <w:r>
            <w:rPr>
              <w:rFonts w:hint="default"/>
              <w:lang w:val="en-US" w:eastAsia="zh-CN"/>
            </w:rPr>
            <w:t>5. 运维自动化工具链预研</w:t>
          </w:r>
          <w:r>
            <w:tab/>
          </w:r>
          <w:r>
            <w:fldChar w:fldCharType="begin"/>
          </w:r>
          <w:r>
            <w:instrText xml:space="preserve"> PAGEREF _Toc25264 \h </w:instrText>
          </w:r>
          <w:r>
            <w:fldChar w:fldCharType="separate"/>
          </w:r>
          <w:r>
            <w:t>6</w:t>
          </w:r>
          <w:r>
            <w:fldChar w:fldCharType="end"/>
          </w:r>
          <w:r>
            <w:rPr>
              <w:rFonts w:hint="eastAsia" w:ascii="宋体" w:hAnsi="宋体" w:eastAsia="宋体" w:cs="宋体"/>
              <w:szCs w:val="24"/>
            </w:rPr>
            <w:fldChar w:fldCharType="end"/>
          </w:r>
        </w:p>
        <w:p w14:paraId="33930DB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_Toc16574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运维手册研发</w:t>
          </w:r>
          <w:r>
            <w:tab/>
          </w:r>
          <w:r>
            <w:fldChar w:fldCharType="begin"/>
          </w:r>
          <w:r>
            <w:instrText xml:space="preserve"> PAGEREF _Toc16574 \h </w:instrText>
          </w:r>
          <w:r>
            <w:fldChar w:fldCharType="separate"/>
          </w:r>
          <w:r>
            <w:t>7</w:t>
          </w:r>
          <w:r>
            <w:fldChar w:fldCharType="end"/>
          </w:r>
          <w:r>
            <w:rPr>
              <w:rFonts w:hint="eastAsia" w:ascii="宋体" w:hAnsi="宋体" w:eastAsia="宋体" w:cs="宋体"/>
              <w:szCs w:val="24"/>
            </w:rPr>
            <w:fldChar w:fldCharType="end"/>
          </w:r>
        </w:p>
        <w:p w14:paraId="5AAA94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_Toc24399 </w:instrText>
          </w:r>
          <w:r>
            <w:rPr>
              <w:rFonts w:hint="eastAsia" w:ascii="宋体" w:hAnsi="宋体" w:eastAsia="宋体" w:cs="宋体"/>
              <w:szCs w:val="24"/>
            </w:rPr>
            <w:fldChar w:fldCharType="separate"/>
          </w:r>
          <w:r>
            <w:rPr>
              <w:rFonts w:hint="default"/>
              <w:lang w:val="en-US" w:eastAsia="zh-CN"/>
            </w:rPr>
            <w:t>6.1. 现状分析</w:t>
          </w:r>
          <w:r>
            <w:tab/>
          </w:r>
          <w:r>
            <w:fldChar w:fldCharType="begin"/>
          </w:r>
          <w:r>
            <w:instrText xml:space="preserve"> PAGEREF _Toc24399 \h </w:instrText>
          </w:r>
          <w:r>
            <w:fldChar w:fldCharType="separate"/>
          </w:r>
          <w:r>
            <w:t>7</w:t>
          </w:r>
          <w:r>
            <w:fldChar w:fldCharType="end"/>
          </w:r>
          <w:r>
            <w:rPr>
              <w:rFonts w:hint="eastAsia" w:ascii="宋体" w:hAnsi="宋体" w:eastAsia="宋体" w:cs="宋体"/>
              <w:szCs w:val="24"/>
            </w:rPr>
            <w:fldChar w:fldCharType="end"/>
          </w:r>
        </w:p>
        <w:p w14:paraId="6C395C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_Toc4059 </w:instrText>
          </w:r>
          <w:r>
            <w:rPr>
              <w:rFonts w:hint="eastAsia" w:ascii="宋体" w:hAnsi="宋体" w:eastAsia="宋体" w:cs="宋体"/>
              <w:szCs w:val="24"/>
            </w:rPr>
            <w:fldChar w:fldCharType="separate"/>
          </w:r>
          <w:r>
            <w:rPr>
              <w:rFonts w:hint="default"/>
              <w:lang w:val="en-US" w:eastAsia="zh-CN"/>
            </w:rPr>
            <w:t>6.2. 研发必要性</w:t>
          </w:r>
          <w:r>
            <w:tab/>
          </w:r>
          <w:r>
            <w:fldChar w:fldCharType="begin"/>
          </w:r>
          <w:r>
            <w:instrText xml:space="preserve"> PAGEREF _Toc4059 \h </w:instrText>
          </w:r>
          <w:r>
            <w:fldChar w:fldCharType="separate"/>
          </w:r>
          <w:r>
            <w:t>7</w:t>
          </w:r>
          <w:r>
            <w:fldChar w:fldCharType="end"/>
          </w:r>
          <w:r>
            <w:rPr>
              <w:rFonts w:hint="eastAsia" w:ascii="宋体" w:hAnsi="宋体" w:eastAsia="宋体" w:cs="宋体"/>
              <w:szCs w:val="24"/>
            </w:rPr>
            <w:fldChar w:fldCharType="end"/>
          </w:r>
        </w:p>
        <w:p w14:paraId="23E1BA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_Toc30250 </w:instrText>
          </w:r>
          <w:r>
            <w:rPr>
              <w:rFonts w:hint="eastAsia" w:ascii="宋体" w:hAnsi="宋体" w:eastAsia="宋体" w:cs="宋体"/>
              <w:szCs w:val="24"/>
            </w:rPr>
            <w:fldChar w:fldCharType="separate"/>
          </w:r>
          <w:r>
            <w:rPr>
              <w:rFonts w:hint="default"/>
              <w:lang w:val="en-US" w:eastAsia="zh-CN"/>
            </w:rPr>
            <w:t>6.3. 手册研发计划</w:t>
          </w:r>
          <w:r>
            <w:tab/>
          </w:r>
          <w:r>
            <w:fldChar w:fldCharType="begin"/>
          </w:r>
          <w:r>
            <w:instrText xml:space="preserve"> PAGEREF _Toc30250 \h </w:instrText>
          </w:r>
          <w:r>
            <w:fldChar w:fldCharType="separate"/>
          </w:r>
          <w:r>
            <w:t>8</w:t>
          </w:r>
          <w:r>
            <w:fldChar w:fldCharType="end"/>
          </w:r>
          <w:r>
            <w:rPr>
              <w:rFonts w:hint="eastAsia" w:ascii="宋体" w:hAnsi="宋体" w:eastAsia="宋体" w:cs="宋体"/>
              <w:szCs w:val="24"/>
            </w:rPr>
            <w:fldChar w:fldCharType="end"/>
          </w:r>
        </w:p>
        <w:p w14:paraId="001AE45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_Toc17751 </w:instrText>
          </w:r>
          <w:r>
            <w:rPr>
              <w:rFonts w:hint="eastAsia" w:ascii="宋体" w:hAnsi="宋体" w:eastAsia="宋体" w:cs="宋体"/>
              <w:szCs w:val="24"/>
            </w:rPr>
            <w:fldChar w:fldCharType="separate"/>
          </w:r>
          <w:r>
            <w:rPr>
              <w:rFonts w:hint="default"/>
              <w:lang w:val="en-US" w:eastAsia="zh-CN"/>
            </w:rPr>
            <w:t>7. 新技术研发规划</w:t>
          </w:r>
          <w:r>
            <w:tab/>
          </w:r>
          <w:r>
            <w:fldChar w:fldCharType="begin"/>
          </w:r>
          <w:r>
            <w:instrText xml:space="preserve"> PAGEREF _Toc17751 \h </w:instrText>
          </w:r>
          <w:r>
            <w:fldChar w:fldCharType="separate"/>
          </w:r>
          <w:r>
            <w:t>8</w:t>
          </w:r>
          <w:r>
            <w:fldChar w:fldCharType="end"/>
          </w:r>
          <w:r>
            <w:rPr>
              <w:rFonts w:hint="eastAsia" w:ascii="宋体" w:hAnsi="宋体" w:eastAsia="宋体" w:cs="宋体"/>
              <w:szCs w:val="24"/>
            </w:rPr>
            <w:fldChar w:fldCharType="end"/>
          </w:r>
        </w:p>
        <w:p w14:paraId="1DB7682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_Toc21424 </w:instrText>
          </w:r>
          <w:r>
            <w:rPr>
              <w:rFonts w:hint="eastAsia" w:ascii="宋体" w:hAnsi="宋体" w:eastAsia="宋体" w:cs="宋体"/>
              <w:szCs w:val="24"/>
            </w:rPr>
            <w:fldChar w:fldCharType="separate"/>
          </w:r>
          <w:r>
            <w:rPr>
              <w:rFonts w:hint="default"/>
              <w:lang w:val="en-US" w:eastAsia="zh-CN"/>
            </w:rPr>
            <w:t>7.1. 研发方向与目标</w:t>
          </w:r>
          <w:r>
            <w:tab/>
          </w:r>
          <w:r>
            <w:fldChar w:fldCharType="begin"/>
          </w:r>
          <w:r>
            <w:instrText xml:space="preserve"> PAGEREF _Toc21424 \h </w:instrText>
          </w:r>
          <w:r>
            <w:fldChar w:fldCharType="separate"/>
          </w:r>
          <w:r>
            <w:t>8</w:t>
          </w:r>
          <w:r>
            <w:fldChar w:fldCharType="end"/>
          </w:r>
          <w:r>
            <w:rPr>
              <w:rFonts w:hint="eastAsia" w:ascii="宋体" w:hAnsi="宋体" w:eastAsia="宋体" w:cs="宋体"/>
              <w:szCs w:val="24"/>
            </w:rPr>
            <w:fldChar w:fldCharType="end"/>
          </w:r>
        </w:p>
        <w:p w14:paraId="74A2F4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_Toc28278 </w:instrText>
          </w:r>
          <w:r>
            <w:rPr>
              <w:rFonts w:hint="eastAsia" w:ascii="宋体" w:hAnsi="宋体" w:eastAsia="宋体" w:cs="宋体"/>
              <w:szCs w:val="24"/>
            </w:rPr>
            <w:fldChar w:fldCharType="separate"/>
          </w:r>
          <w:r>
            <w:rPr>
              <w:rFonts w:hint="default"/>
              <w:lang w:val="en-US" w:eastAsia="zh-CN"/>
            </w:rPr>
            <w:t>7.2. 实施路径</w:t>
          </w:r>
          <w:r>
            <w:tab/>
          </w:r>
          <w:r>
            <w:fldChar w:fldCharType="begin"/>
          </w:r>
          <w:r>
            <w:instrText xml:space="preserve"> PAGEREF _Toc28278 \h </w:instrText>
          </w:r>
          <w:r>
            <w:fldChar w:fldCharType="separate"/>
          </w:r>
          <w:r>
            <w:t>9</w:t>
          </w:r>
          <w:r>
            <w:fldChar w:fldCharType="end"/>
          </w:r>
          <w:r>
            <w:rPr>
              <w:rFonts w:hint="eastAsia" w:ascii="宋体" w:hAnsi="宋体" w:eastAsia="宋体" w:cs="宋体"/>
              <w:szCs w:val="24"/>
            </w:rPr>
            <w:fldChar w:fldCharType="end"/>
          </w:r>
        </w:p>
        <w:p w14:paraId="6E9E37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_Toc24673 </w:instrText>
          </w:r>
          <w:r>
            <w:rPr>
              <w:rFonts w:hint="eastAsia" w:ascii="宋体" w:hAnsi="宋体" w:eastAsia="宋体" w:cs="宋体"/>
              <w:szCs w:val="24"/>
            </w:rPr>
            <w:fldChar w:fldCharType="separate"/>
          </w:r>
          <w:r>
            <w:rPr>
              <w:rFonts w:hint="default"/>
              <w:lang w:val="en-US" w:eastAsia="zh-CN"/>
            </w:rPr>
            <w:t>7.3. 资源投入</w:t>
          </w:r>
          <w:r>
            <w:tab/>
          </w:r>
          <w:r>
            <w:fldChar w:fldCharType="begin"/>
          </w:r>
          <w:r>
            <w:instrText xml:space="preserve"> PAGEREF _Toc24673 \h </w:instrText>
          </w:r>
          <w:r>
            <w:fldChar w:fldCharType="separate"/>
          </w:r>
          <w:r>
            <w:t>9</w:t>
          </w:r>
          <w:r>
            <w:fldChar w:fldCharType="end"/>
          </w:r>
          <w:r>
            <w:rPr>
              <w:rFonts w:hint="eastAsia" w:ascii="宋体" w:hAnsi="宋体" w:eastAsia="宋体" w:cs="宋体"/>
              <w:szCs w:val="24"/>
            </w:rPr>
            <w:fldChar w:fldCharType="end"/>
          </w:r>
        </w:p>
        <w:p w14:paraId="30D001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_Toc18652 </w:instrText>
          </w:r>
          <w:r>
            <w:rPr>
              <w:rFonts w:hint="eastAsia" w:ascii="宋体" w:hAnsi="宋体" w:eastAsia="宋体" w:cs="宋体"/>
              <w:szCs w:val="24"/>
            </w:rPr>
            <w:fldChar w:fldCharType="separate"/>
          </w:r>
          <w:r>
            <w:rPr>
              <w:rFonts w:hint="default"/>
              <w:lang w:val="en-US" w:eastAsia="zh-CN"/>
            </w:rPr>
            <w:t>8. 资源与经费</w:t>
          </w:r>
          <w:r>
            <w:tab/>
          </w:r>
          <w:r>
            <w:fldChar w:fldCharType="begin"/>
          </w:r>
          <w:r>
            <w:instrText xml:space="preserve"> PAGEREF _Toc18652 \h </w:instrText>
          </w:r>
          <w:r>
            <w:fldChar w:fldCharType="separate"/>
          </w:r>
          <w:r>
            <w:t>9</w:t>
          </w:r>
          <w:r>
            <w:fldChar w:fldCharType="end"/>
          </w:r>
          <w:r>
            <w:rPr>
              <w:rFonts w:hint="eastAsia" w:ascii="宋体" w:hAnsi="宋体" w:eastAsia="宋体" w:cs="宋体"/>
              <w:szCs w:val="24"/>
            </w:rPr>
            <w:fldChar w:fldCharType="end"/>
          </w:r>
        </w:p>
        <w:p w14:paraId="2A34C9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21F39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F46AA3D">
      <w:pPr>
        <w:pStyle w:val="28"/>
        <w:bidi w:val="0"/>
        <w:rPr>
          <w:rFonts w:hint="default"/>
          <w:lang w:val="en-US" w:eastAsia="zh-CN"/>
        </w:rPr>
      </w:pPr>
      <w:bookmarkStart w:id="2" w:name="_Toc15679"/>
      <w:r>
        <w:rPr>
          <w:rFonts w:hint="default"/>
          <w:lang w:val="en-US" w:eastAsia="zh-CN"/>
        </w:rPr>
        <w:t>概述</w:t>
      </w:r>
      <w:bookmarkEnd w:id="2"/>
    </w:p>
    <w:p w14:paraId="1C4874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贯彻落实公司向"数智运营"转型的战略要求，系统性地提升运维服务的智能化水平、运营效率与客户感知价值，特制定本技术研发规划。基于公司现有服务管理基础，规划聚焦于信息触达、体验反馈、知识复用及自动化提升等关键环节，通过定向技术研发构建智能运维能力体系，赋能一线服务团队，优化管理决策，推动运维服务从"保障运行"向"创造价值"升级。</w:t>
      </w:r>
    </w:p>
    <w:p w14:paraId="65E1F4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本规划面向公司管理层、数智运营部、研究总院、质量管理部、应急管理部及人力部等相关单位与项目组成员。</w:t>
      </w:r>
    </w:p>
    <w:p w14:paraId="21C899F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9555"/>
      <w:r>
        <w:rPr>
          <w:rFonts w:hint="default"/>
          <w:lang w:val="en-US" w:eastAsia="zh-CN"/>
        </w:rPr>
        <w:t>总体规划</w:t>
      </w:r>
      <w:bookmarkEnd w:id="3"/>
    </w:p>
    <w:p w14:paraId="4975EE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本规划聚焦运维服务核心环节，2025年度重点推进三大研发项目，构建"管理智能、知识内嵌、操作自动"的协同能力：</w:t>
      </w:r>
    </w:p>
    <w:p w14:paraId="64220FC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智能服务管理与分析平台：作为核心枢纽，重构信息发布、满意度反馈与服务价值呈现机制，实现管理指令精准触达与服务体验实时感知。</w:t>
      </w:r>
    </w:p>
    <w:p w14:paraId="1BB9FB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场景化知识库与智能辅助系统：将静态知识转化为动态助手，深度嵌入运维工作流，为一线人员提供即时的决策支持与操作指导。</w:t>
      </w:r>
    </w:p>
    <w:p w14:paraId="412681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运维自动化工具链：通过自动化工作流引擎，将重复性、标准化操作自动化，提升服务响应的一致性与效率。</w:t>
      </w:r>
    </w:p>
    <w:p w14:paraId="2DCB23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上述项目分阶段实施，相互支撑，共同构建公司"数智运维"能力的技术基座。</w:t>
      </w:r>
    </w:p>
    <w:p w14:paraId="69AAECA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8890"/>
      <w:r>
        <w:rPr>
          <w:rFonts w:hint="default"/>
          <w:lang w:val="en-US" w:eastAsia="zh-CN"/>
        </w:rPr>
        <w:t>智能服务管理与分析平台项目</w:t>
      </w:r>
      <w:bookmarkEnd w:id="4"/>
    </w:p>
    <w:p w14:paraId="4BF726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0650"/>
      <w:r>
        <w:rPr>
          <w:rFonts w:hint="default"/>
          <w:lang w:val="en-US" w:eastAsia="zh-CN"/>
        </w:rPr>
        <w:t>研发目标</w:t>
      </w:r>
      <w:bookmarkEnd w:id="5"/>
    </w:p>
    <w:p w14:paraId="582966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本项目旨在解决当前信息传递效率低、客户反馈滞后、服务价值难以量化呈现的问题。通过平台升级，实现以下核心目标：</w:t>
      </w:r>
    </w:p>
    <w:p w14:paraId="2C4E4B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建立信息精准触达与可控管理机制，确保关键政策、流程变更100%传达至相关人员。</w:t>
      </w:r>
    </w:p>
    <w:p w14:paraId="6998AB2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构建实时、多维的客户满意度监测与分析体系，变被动收集为主动感知。</w:t>
      </w:r>
    </w:p>
    <w:p w14:paraId="024B45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实现运维服务数据的价值可视化，为管理决策与服务优化提供数据支撑。</w:t>
      </w:r>
    </w:p>
    <w:p w14:paraId="1678F51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30650"/>
      <w:r>
        <w:rPr>
          <w:rFonts w:hint="default"/>
          <w:lang w:val="en-US" w:eastAsia="zh-CN"/>
        </w:rPr>
        <w:t>研发内容</w:t>
      </w:r>
      <w:bookmarkEnd w:id="6"/>
    </w:p>
    <w:p w14:paraId="7EFDD823">
      <w:pPr>
        <w:pStyle w:val="31"/>
        <w:bidi w:val="0"/>
        <w:rPr>
          <w:rFonts w:hint="default"/>
          <w:lang w:val="en-US" w:eastAsia="zh-CN"/>
        </w:rPr>
      </w:pPr>
      <w:r>
        <w:rPr>
          <w:rFonts w:hint="default"/>
          <w:lang w:val="en-US" w:eastAsia="zh-CN"/>
        </w:rPr>
        <w:t>智能公告中心模块</w:t>
      </w:r>
    </w:p>
    <w:p w14:paraId="52CDEC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实现公告的分级分类（全局/部门/项目）、定向推送与强制阅读确认。</w:t>
      </w:r>
    </w:p>
    <w:p w14:paraId="1BA27B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集成阅读状态跟踪与统计功能，确保关键信息传达到位。</w:t>
      </w:r>
    </w:p>
    <w:p w14:paraId="130CB7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支持公告与知识库条目、流程节点的关联。</w:t>
      </w:r>
    </w:p>
    <w:p w14:paraId="33D851EE">
      <w:pPr>
        <w:pStyle w:val="31"/>
        <w:bidi w:val="0"/>
        <w:rPr>
          <w:rFonts w:hint="default"/>
          <w:lang w:val="en-US" w:eastAsia="zh-CN"/>
        </w:rPr>
      </w:pPr>
      <w:r>
        <w:rPr>
          <w:rFonts w:hint="default"/>
          <w:lang w:val="en-US" w:eastAsia="zh-CN"/>
        </w:rPr>
        <w:t>实时满意度反馈与分析模块</w:t>
      </w:r>
    </w:p>
    <w:p w14:paraId="3865BD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在服务工单关闭后自动触发轻量级满意度评价。</w:t>
      </w:r>
    </w:p>
    <w:p w14:paraId="66E77F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建立多维度（省份、项目、服务类型）满意度分析看板。</w:t>
      </w:r>
    </w:p>
    <w:p w14:paraId="6697E9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设置满意度阈值预警，对异常情况进行自动告警。</w:t>
      </w:r>
    </w:p>
    <w:p w14:paraId="1F3DC52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服务价值可视化报表模块</w:t>
      </w:r>
    </w:p>
    <w:p w14:paraId="58076AE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开发交互式报表，将SLA达成率、事件解决时长等运营数据与客户满意度数据关联分析。</w:t>
      </w:r>
    </w:p>
    <w:p w14:paraId="2E4AAC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提供多维度数据下钻与趋势分析功能。</w:t>
      </w:r>
    </w:p>
    <w:p w14:paraId="0A97BF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支持自定义报表生成与定期自动推送。</w:t>
      </w:r>
    </w:p>
    <w:p w14:paraId="06AD9BF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9163"/>
      <w:r>
        <w:rPr>
          <w:rFonts w:hint="default"/>
          <w:lang w:val="en-US" w:eastAsia="zh-CN"/>
        </w:rPr>
        <w:t>研发团队</w:t>
      </w:r>
      <w:bookmarkEnd w:id="7"/>
    </w:p>
    <w:p w14:paraId="457848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根据项目需要，组建专项研发团队，具体配置如下：</w:t>
      </w:r>
    </w:p>
    <w:p w14:paraId="2A0887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表3-1 人员配置表</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8"/>
        <w:gridCol w:w="1767"/>
        <w:gridCol w:w="4730"/>
      </w:tblGrid>
      <w:tr w14:paraId="788F2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9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F2EF1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职位名称</w:t>
            </w:r>
          </w:p>
        </w:tc>
        <w:tc>
          <w:tcPr>
            <w:tcW w:w="176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611F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所属部门</w:t>
            </w:r>
          </w:p>
        </w:tc>
        <w:tc>
          <w:tcPr>
            <w:tcW w:w="473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ADB8E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职责描述</w:t>
            </w:r>
          </w:p>
        </w:tc>
      </w:tr>
      <w:tr w14:paraId="79AC1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DFE0C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47990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98880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项目总体规划与技术决策</w:t>
            </w:r>
          </w:p>
        </w:tc>
      </w:tr>
      <w:tr w14:paraId="0E4A3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E037A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后端开发工程师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CFEC2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5DDC3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平台核心架构、API与数据分析模块开发</w:t>
            </w:r>
          </w:p>
        </w:tc>
      </w:tr>
      <w:tr w14:paraId="72927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964C3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前端开发工程师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2455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95811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管理界面、可视化报表前端开发</w:t>
            </w:r>
          </w:p>
        </w:tc>
      </w:tr>
      <w:tr w14:paraId="3790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7DA54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需求分析师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20081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78121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收集分析业务需求，输出需求规格说明书</w:t>
            </w:r>
          </w:p>
        </w:tc>
      </w:tr>
      <w:tr w14:paraId="546E9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D089D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运维项目经理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C8D6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29425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协调业务资源，参与设计与测试</w:t>
            </w:r>
          </w:p>
        </w:tc>
      </w:tr>
      <w:tr w14:paraId="6E5867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7F06C5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质量管理专员</w:t>
            </w:r>
          </w:p>
        </w:tc>
        <w:tc>
          <w:tcPr>
            <w:tcW w:w="176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2168E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w:t>
            </w:r>
          </w:p>
        </w:tc>
        <w:tc>
          <w:tcPr>
            <w:tcW w:w="473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801C4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监督研发过程质量，参与功能验证</w:t>
            </w:r>
          </w:p>
        </w:tc>
      </w:tr>
    </w:tbl>
    <w:p w14:paraId="649A924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4633"/>
      <w:r>
        <w:rPr>
          <w:rFonts w:hint="default"/>
          <w:lang w:val="en-US" w:eastAsia="zh-CN"/>
        </w:rPr>
        <w:t>研发环境</w:t>
      </w:r>
      <w:bookmarkEnd w:id="8"/>
    </w:p>
    <w:p w14:paraId="65A5C0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研发与部署所需环境如下：</w:t>
      </w:r>
    </w:p>
    <w:p w14:paraId="5E855F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表3-2 环境需求表</w:t>
      </w:r>
    </w:p>
    <w:tbl>
      <w:tblPr>
        <w:tblStyle w:val="20"/>
        <w:tblW w:w="85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82"/>
        <w:gridCol w:w="708"/>
        <w:gridCol w:w="4278"/>
        <w:gridCol w:w="2138"/>
      </w:tblGrid>
      <w:tr w14:paraId="296A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1382"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48941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资源名称</w:t>
            </w:r>
          </w:p>
        </w:tc>
        <w:tc>
          <w:tcPr>
            <w:tcW w:w="70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ADF7F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级别</w:t>
            </w:r>
          </w:p>
        </w:tc>
        <w:tc>
          <w:tcPr>
            <w:tcW w:w="427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7256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详细配置/要求</w:t>
            </w:r>
          </w:p>
        </w:tc>
        <w:tc>
          <w:tcPr>
            <w:tcW w:w="213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3E3824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获取方式</w:t>
            </w:r>
          </w:p>
        </w:tc>
      </w:tr>
      <w:tr w14:paraId="71ED5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52D03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开发/测试环境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D6C1E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20607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独立容器化环境，Java/Python/Node.js，MySQL，Redis</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BB435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利用公司现有资源搭建</w:t>
            </w:r>
          </w:p>
        </w:tc>
      </w:tr>
      <w:tr w14:paraId="1FCE3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3E627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生产环境</w:t>
            </w:r>
          </w:p>
        </w:tc>
        <w:tc>
          <w:tcPr>
            <w:tcW w:w="70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FDF30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关键</w:t>
            </w:r>
          </w:p>
        </w:tc>
        <w:tc>
          <w:tcPr>
            <w:tcW w:w="427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101AC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云服务器集群，负载均衡</w:t>
            </w:r>
          </w:p>
        </w:tc>
        <w:tc>
          <w:tcPr>
            <w:tcW w:w="213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E471C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采购云服务或使用公司云平台</w:t>
            </w:r>
          </w:p>
        </w:tc>
      </w:tr>
      <w:tr w14:paraId="12B57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4A395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版本控制与CI/CD</w:t>
            </w:r>
          </w:p>
        </w:tc>
        <w:tc>
          <w:tcPr>
            <w:tcW w:w="70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ED443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关键</w:t>
            </w:r>
          </w:p>
        </w:tc>
        <w:tc>
          <w:tcPr>
            <w:tcW w:w="427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C011C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Git，Jenkins</w:t>
            </w:r>
          </w:p>
        </w:tc>
        <w:tc>
          <w:tcPr>
            <w:tcW w:w="213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722FEB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自建或使用现有工具</w:t>
            </w:r>
          </w:p>
        </w:tc>
      </w:tr>
    </w:tbl>
    <w:p w14:paraId="1D4ED75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7487"/>
      <w:r>
        <w:rPr>
          <w:rFonts w:hint="default"/>
          <w:lang w:val="en-US" w:eastAsia="zh-CN"/>
        </w:rPr>
        <w:t>研发进度</w:t>
      </w:r>
      <w:bookmarkEnd w:id="9"/>
    </w:p>
    <w:p w14:paraId="0C4824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为有序推进研发工作，项目主要阶段与计划安排如下：</w:t>
      </w:r>
    </w:p>
    <w:p w14:paraId="2A9CECE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表3-3 研发进度表</w:t>
      </w:r>
    </w:p>
    <w:tbl>
      <w:tblPr>
        <w:tblStyle w:val="20"/>
        <w:tblW w:w="85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213"/>
        <w:gridCol w:w="1443"/>
        <w:gridCol w:w="4849"/>
      </w:tblGrid>
      <w:tr w14:paraId="4718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2213" w:type="dxa"/>
            <w:shd w:val="clear" w:color="auto" w:fill="auto"/>
            <w:tcMar>
              <w:top w:w="120" w:type="dxa"/>
              <w:left w:w="0" w:type="dxa"/>
              <w:bottom w:w="120" w:type="dxa"/>
              <w:right w:w="192" w:type="dxa"/>
            </w:tcMar>
            <w:vAlign w:val="center"/>
          </w:tcPr>
          <w:p w14:paraId="608AEC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研发阶段</w:t>
            </w:r>
          </w:p>
        </w:tc>
        <w:tc>
          <w:tcPr>
            <w:tcW w:w="1443" w:type="dxa"/>
            <w:shd w:val="clear" w:color="auto" w:fill="auto"/>
            <w:tcMar>
              <w:top w:w="120" w:type="dxa"/>
              <w:left w:w="192" w:type="dxa"/>
              <w:bottom w:w="120" w:type="dxa"/>
              <w:right w:w="192" w:type="dxa"/>
            </w:tcMar>
            <w:vAlign w:val="center"/>
          </w:tcPr>
          <w:p w14:paraId="3C56D1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计划时间</w:t>
            </w:r>
          </w:p>
        </w:tc>
        <w:tc>
          <w:tcPr>
            <w:tcW w:w="4849" w:type="dxa"/>
            <w:shd w:val="clear" w:color="auto" w:fill="auto"/>
            <w:tcMar>
              <w:top w:w="120" w:type="dxa"/>
              <w:left w:w="192" w:type="dxa"/>
              <w:bottom w:w="120" w:type="dxa"/>
              <w:right w:w="192" w:type="dxa"/>
            </w:tcMar>
            <w:vAlign w:val="center"/>
          </w:tcPr>
          <w:p w14:paraId="13A442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主要工作内容</w:t>
            </w:r>
          </w:p>
        </w:tc>
      </w:tr>
      <w:tr w14:paraId="5427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40B443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需求分析与设计</w:t>
            </w:r>
          </w:p>
        </w:tc>
        <w:tc>
          <w:tcPr>
            <w:tcW w:w="1443" w:type="dxa"/>
            <w:shd w:val="clear" w:color="auto" w:fill="auto"/>
            <w:tcMar>
              <w:top w:w="120" w:type="dxa"/>
              <w:left w:w="192" w:type="dxa"/>
              <w:bottom w:w="120" w:type="dxa"/>
              <w:right w:w="192" w:type="dxa"/>
            </w:tcMar>
            <w:vAlign w:val="center"/>
          </w:tcPr>
          <w:p w14:paraId="2066AF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2025年Q1</w:t>
            </w:r>
          </w:p>
        </w:tc>
        <w:tc>
          <w:tcPr>
            <w:tcW w:w="4849" w:type="dxa"/>
            <w:shd w:val="clear" w:color="auto" w:fill="auto"/>
            <w:tcMar>
              <w:top w:w="120" w:type="dxa"/>
              <w:left w:w="192" w:type="dxa"/>
              <w:bottom w:w="120" w:type="dxa"/>
              <w:right w:w="0" w:type="dxa"/>
            </w:tcMar>
            <w:vAlign w:val="center"/>
          </w:tcPr>
          <w:p w14:paraId="2C6A2E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完成业务调研、产品原型设计、技术方案评审</w:t>
            </w:r>
          </w:p>
        </w:tc>
      </w:tr>
      <w:tr w14:paraId="6EE47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512BAE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核心模块开发</w:t>
            </w:r>
          </w:p>
        </w:tc>
        <w:tc>
          <w:tcPr>
            <w:tcW w:w="1443" w:type="dxa"/>
            <w:shd w:val="clear" w:color="auto" w:fill="auto"/>
            <w:tcMar>
              <w:top w:w="120" w:type="dxa"/>
              <w:left w:w="192" w:type="dxa"/>
              <w:bottom w:w="120" w:type="dxa"/>
              <w:right w:w="192" w:type="dxa"/>
            </w:tcMar>
            <w:vAlign w:val="center"/>
          </w:tcPr>
          <w:p w14:paraId="7B4E90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2025年Q2</w:t>
            </w:r>
          </w:p>
        </w:tc>
        <w:tc>
          <w:tcPr>
            <w:tcW w:w="4849" w:type="dxa"/>
            <w:shd w:val="clear" w:color="auto" w:fill="auto"/>
            <w:tcMar>
              <w:top w:w="120" w:type="dxa"/>
              <w:left w:w="192" w:type="dxa"/>
              <w:bottom w:w="120" w:type="dxa"/>
              <w:right w:w="0" w:type="dxa"/>
            </w:tcMar>
            <w:vAlign w:val="center"/>
          </w:tcPr>
          <w:p w14:paraId="630596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完成智能公告中心、实时满意度反馈模块开发</w:t>
            </w:r>
          </w:p>
        </w:tc>
      </w:tr>
      <w:tr w14:paraId="65F61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567499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数据分析与报表开发</w:t>
            </w:r>
          </w:p>
        </w:tc>
        <w:tc>
          <w:tcPr>
            <w:tcW w:w="1443" w:type="dxa"/>
            <w:shd w:val="clear" w:color="auto" w:fill="auto"/>
            <w:tcMar>
              <w:top w:w="120" w:type="dxa"/>
              <w:left w:w="192" w:type="dxa"/>
              <w:bottom w:w="120" w:type="dxa"/>
              <w:right w:w="192" w:type="dxa"/>
            </w:tcMar>
            <w:vAlign w:val="center"/>
          </w:tcPr>
          <w:p w14:paraId="160DBD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c>
          <w:tcPr>
            <w:tcW w:w="4849" w:type="dxa"/>
            <w:shd w:val="clear" w:color="auto" w:fill="auto"/>
            <w:tcMar>
              <w:top w:w="120" w:type="dxa"/>
              <w:left w:w="192" w:type="dxa"/>
              <w:bottom w:w="120" w:type="dxa"/>
              <w:right w:w="0" w:type="dxa"/>
            </w:tcMar>
            <w:vAlign w:val="center"/>
          </w:tcPr>
          <w:p w14:paraId="229F24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完成数据分析模型、可视化报表及预警功能开发</w:t>
            </w:r>
          </w:p>
        </w:tc>
      </w:tr>
      <w:tr w14:paraId="72A18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13FB03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集成测试与优化</w:t>
            </w:r>
          </w:p>
        </w:tc>
        <w:tc>
          <w:tcPr>
            <w:tcW w:w="1443" w:type="dxa"/>
            <w:shd w:val="clear" w:color="auto" w:fill="auto"/>
            <w:tcMar>
              <w:top w:w="120" w:type="dxa"/>
              <w:left w:w="192" w:type="dxa"/>
              <w:bottom w:w="120" w:type="dxa"/>
              <w:right w:w="192" w:type="dxa"/>
            </w:tcMar>
            <w:vAlign w:val="center"/>
          </w:tcPr>
          <w:p w14:paraId="522F41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146CD6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进行系统集成测试、性能测试及用户体验优化</w:t>
            </w:r>
          </w:p>
        </w:tc>
      </w:tr>
      <w:tr w14:paraId="479D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2213" w:type="dxa"/>
            <w:shd w:val="clear" w:color="auto" w:fill="auto"/>
            <w:tcMar>
              <w:top w:w="120" w:type="dxa"/>
              <w:left w:w="0" w:type="dxa"/>
              <w:bottom w:w="120" w:type="dxa"/>
              <w:right w:w="192" w:type="dxa"/>
            </w:tcMar>
            <w:vAlign w:val="center"/>
          </w:tcPr>
          <w:p w14:paraId="236D6D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试点运行</w:t>
            </w:r>
          </w:p>
        </w:tc>
        <w:tc>
          <w:tcPr>
            <w:tcW w:w="1443" w:type="dxa"/>
            <w:shd w:val="clear" w:color="auto" w:fill="auto"/>
            <w:tcMar>
              <w:top w:w="120" w:type="dxa"/>
              <w:left w:w="192" w:type="dxa"/>
              <w:bottom w:w="120" w:type="dxa"/>
              <w:right w:w="192" w:type="dxa"/>
            </w:tcMar>
            <w:vAlign w:val="center"/>
          </w:tcPr>
          <w:p w14:paraId="1BAA68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2025年Q4</w:t>
            </w:r>
          </w:p>
        </w:tc>
        <w:tc>
          <w:tcPr>
            <w:tcW w:w="4849" w:type="dxa"/>
            <w:shd w:val="clear" w:color="auto" w:fill="auto"/>
            <w:tcMar>
              <w:top w:w="120" w:type="dxa"/>
              <w:left w:w="192" w:type="dxa"/>
              <w:bottom w:w="120" w:type="dxa"/>
              <w:right w:w="0" w:type="dxa"/>
            </w:tcMar>
            <w:vAlign w:val="center"/>
          </w:tcPr>
          <w:p w14:paraId="4AEBCB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在选定项目试点，准备全面推广</w:t>
            </w:r>
          </w:p>
        </w:tc>
      </w:tr>
    </w:tbl>
    <w:p w14:paraId="362356D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6574"/>
      <w:r>
        <w:rPr>
          <w:rFonts w:hint="eastAsia"/>
          <w:lang w:val="en-US" w:eastAsia="zh-CN"/>
        </w:rPr>
        <w:t>运维手册研发</w:t>
      </w:r>
      <w:bookmarkEnd w:id="10"/>
    </w:p>
    <w:p w14:paraId="4A5BAC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399"/>
      <w:r>
        <w:rPr>
          <w:rFonts w:hint="default"/>
          <w:lang w:val="en-US" w:eastAsia="zh-CN"/>
        </w:rPr>
        <w:t>现状分析</w:t>
      </w:r>
      <w:bookmarkEnd w:id="11"/>
    </w:p>
    <w:p w14:paraId="6ED011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目前已针对部分核心系统（如财务机器人系统、零信任安全系统）编制了操作手册（如《往来核销机器人操作手册》、《零信任使用FAQ》）。这些手册为特定系统的操作与故障排查提供了基础指导，有效支持了相关运维工作的开展。</w:t>
      </w:r>
    </w:p>
    <w:p w14:paraId="74F8A4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然而，当前手册研发存在以下不足：</w:t>
      </w:r>
    </w:p>
    <w:p w14:paraId="3D7180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覆盖不全面：手册主要集中在已上线且问题较多的系统，大量在运核心业务系统、平台及通用技术组件缺乏系统化的运维手册。</w:t>
      </w:r>
    </w:p>
    <w:p w14:paraId="61D0C1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格式不规范：现有手册格式、内容深度、更新机制不统一，不利于知识的标准化管理与快速查阅。</w:t>
      </w:r>
    </w:p>
    <w:p w14:paraId="25DF2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知识未体系化：操作手册、故障处理、应急预案等知识分散，未与公司知识管理体系有效融合，难以发挥协同效应。</w:t>
      </w:r>
    </w:p>
    <w:p w14:paraId="58C65B8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4059"/>
      <w:r>
        <w:rPr>
          <w:rFonts w:hint="default"/>
          <w:lang w:val="en-US" w:eastAsia="zh-CN"/>
        </w:rPr>
        <w:t>研发必要性</w:t>
      </w:r>
      <w:bookmarkEnd w:id="12"/>
    </w:p>
    <w:p w14:paraId="382B63D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系统化、标准化的运维手册是确保运维服务规范性、可重复性与安全性的基石，其研发必要性体现在：</w:t>
      </w:r>
    </w:p>
    <w:p w14:paraId="14E82C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降低操作风险：为高频、复杂或关键操作提供标准作业程序（SOP），减少人为误操作风险。</w:t>
      </w:r>
    </w:p>
    <w:p w14:paraId="56ECDA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提升处置效率：当系统发生故障时，完备的故障处理手册能指导工程师快速定位与恢复，缩短MTTR（平均修复时间）。</w:t>
      </w:r>
    </w:p>
    <w:p w14:paraId="747391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促进知识传承：形成系统化的知识资产，降低对特定专家的依赖，加速新员工成长，保障服务连续性。</w:t>
      </w:r>
    </w:p>
    <w:p w14:paraId="3530AB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满足合规要求：完善的技术文档是IT服务管理体系（如ITSS、ISO20000）认证与审计的必备要素。</w:t>
      </w:r>
    </w:p>
    <w:p w14:paraId="22E3F5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0250"/>
      <w:r>
        <w:rPr>
          <w:rFonts w:hint="default"/>
          <w:lang w:val="en-US" w:eastAsia="zh-CN"/>
        </w:rPr>
        <w:t>手册研发计划</w:t>
      </w:r>
      <w:bookmarkEnd w:id="13"/>
    </w:p>
    <w:p w14:paraId="79A089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2025年度，计划启动首批关键系统运维手册的标准化研发工作，具体计划如下：</w:t>
      </w:r>
    </w:p>
    <w:p w14:paraId="2A0CFC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表</w:t>
      </w:r>
      <w:r>
        <w:rPr>
          <w:rFonts w:hint="eastAsia"/>
          <w:lang w:val="en-US" w:eastAsia="zh-CN"/>
        </w:rPr>
        <w:t>4</w:t>
      </w:r>
      <w:bookmarkStart w:id="19" w:name="_GoBack"/>
      <w:bookmarkEnd w:id="19"/>
      <w:r>
        <w:rPr>
          <w:rFonts w:hint="default"/>
          <w:lang w:val="en-US" w:eastAsia="zh-CN"/>
        </w:rPr>
        <w:t>-1 运维手册研发计划表（2025年度）</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4608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6E016A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编号</w:t>
            </w:r>
          </w:p>
        </w:tc>
        <w:tc>
          <w:tcPr>
            <w:tcW w:w="1562" w:type="dxa"/>
            <w:shd w:val="clear" w:color="auto" w:fill="auto"/>
            <w:tcMar>
              <w:top w:w="120" w:type="dxa"/>
              <w:left w:w="192" w:type="dxa"/>
              <w:bottom w:w="120" w:type="dxa"/>
              <w:right w:w="192" w:type="dxa"/>
            </w:tcMar>
            <w:vAlign w:val="center"/>
          </w:tcPr>
          <w:p w14:paraId="5D09F8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手册类别</w:t>
            </w:r>
          </w:p>
        </w:tc>
        <w:tc>
          <w:tcPr>
            <w:tcW w:w="1665" w:type="dxa"/>
            <w:shd w:val="clear" w:color="auto" w:fill="auto"/>
            <w:tcMar>
              <w:top w:w="120" w:type="dxa"/>
              <w:left w:w="192" w:type="dxa"/>
              <w:bottom w:w="120" w:type="dxa"/>
              <w:right w:w="192" w:type="dxa"/>
            </w:tcMar>
            <w:vAlign w:val="center"/>
          </w:tcPr>
          <w:p w14:paraId="25DF3A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手册名称（示例）</w:t>
            </w:r>
          </w:p>
        </w:tc>
        <w:tc>
          <w:tcPr>
            <w:tcW w:w="2831" w:type="dxa"/>
            <w:shd w:val="clear" w:color="auto" w:fill="auto"/>
            <w:tcMar>
              <w:top w:w="120" w:type="dxa"/>
              <w:left w:w="192" w:type="dxa"/>
              <w:bottom w:w="120" w:type="dxa"/>
              <w:right w:w="192" w:type="dxa"/>
            </w:tcMar>
            <w:vAlign w:val="center"/>
          </w:tcPr>
          <w:p w14:paraId="4BA835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主要内容</w:t>
            </w:r>
          </w:p>
        </w:tc>
        <w:tc>
          <w:tcPr>
            <w:tcW w:w="908" w:type="dxa"/>
            <w:shd w:val="clear" w:color="auto" w:fill="auto"/>
            <w:tcMar>
              <w:top w:w="120" w:type="dxa"/>
              <w:left w:w="192" w:type="dxa"/>
              <w:bottom w:w="120" w:type="dxa"/>
              <w:right w:w="192" w:type="dxa"/>
            </w:tcMar>
            <w:vAlign w:val="center"/>
          </w:tcPr>
          <w:p w14:paraId="7E9BD0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责任部门</w:t>
            </w:r>
          </w:p>
        </w:tc>
        <w:tc>
          <w:tcPr>
            <w:tcW w:w="1003" w:type="dxa"/>
            <w:shd w:val="clear" w:color="auto" w:fill="auto"/>
            <w:tcMar>
              <w:top w:w="120" w:type="dxa"/>
              <w:left w:w="192" w:type="dxa"/>
              <w:bottom w:w="120" w:type="dxa"/>
              <w:right w:w="192" w:type="dxa"/>
            </w:tcMar>
            <w:vAlign w:val="center"/>
          </w:tcPr>
          <w:p w14:paraId="52EBFA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计划完成时间</w:t>
            </w:r>
          </w:p>
        </w:tc>
      </w:tr>
      <w:tr w14:paraId="38514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1C3302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w:t>
            </w:r>
          </w:p>
        </w:tc>
        <w:tc>
          <w:tcPr>
            <w:tcW w:w="1562" w:type="dxa"/>
            <w:shd w:val="clear" w:color="auto" w:fill="auto"/>
            <w:tcMar>
              <w:top w:w="120" w:type="dxa"/>
              <w:left w:w="192" w:type="dxa"/>
              <w:bottom w:w="120" w:type="dxa"/>
              <w:right w:w="192" w:type="dxa"/>
            </w:tcMar>
            <w:vAlign w:val="center"/>
          </w:tcPr>
          <w:p w14:paraId="120ADB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专项系统操作类</w:t>
            </w:r>
          </w:p>
        </w:tc>
        <w:tc>
          <w:tcPr>
            <w:tcW w:w="1665" w:type="dxa"/>
            <w:shd w:val="clear" w:color="auto" w:fill="auto"/>
            <w:tcMar>
              <w:top w:w="120" w:type="dxa"/>
              <w:left w:w="192" w:type="dxa"/>
              <w:bottom w:w="120" w:type="dxa"/>
              <w:right w:w="192" w:type="dxa"/>
            </w:tcMar>
            <w:vAlign w:val="center"/>
          </w:tcPr>
          <w:p w14:paraId="101626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《财务机器人系列运维手册》</w:t>
            </w:r>
          </w:p>
        </w:tc>
        <w:tc>
          <w:tcPr>
            <w:tcW w:w="2831" w:type="dxa"/>
            <w:shd w:val="clear" w:color="auto" w:fill="auto"/>
            <w:tcMar>
              <w:top w:w="120" w:type="dxa"/>
              <w:left w:w="192" w:type="dxa"/>
              <w:bottom w:w="120" w:type="dxa"/>
              <w:right w:w="192" w:type="dxa"/>
            </w:tcMar>
            <w:vAlign w:val="center"/>
          </w:tcPr>
          <w:p w14:paraId="1BC705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涵盖往来核销、报表自动化等各财务机器人的部署、配置、日常操作、监控及常见故障处理指南。</w:t>
            </w:r>
          </w:p>
        </w:tc>
        <w:tc>
          <w:tcPr>
            <w:tcW w:w="908" w:type="dxa"/>
            <w:shd w:val="clear" w:color="auto" w:fill="auto"/>
            <w:tcMar>
              <w:top w:w="120" w:type="dxa"/>
              <w:left w:w="192" w:type="dxa"/>
              <w:bottom w:w="120" w:type="dxa"/>
              <w:right w:w="192" w:type="dxa"/>
            </w:tcMar>
            <w:vAlign w:val="center"/>
          </w:tcPr>
          <w:p w14:paraId="341384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数智运营部、研究总院</w:t>
            </w:r>
          </w:p>
        </w:tc>
        <w:tc>
          <w:tcPr>
            <w:tcW w:w="1003" w:type="dxa"/>
            <w:shd w:val="clear" w:color="auto" w:fill="auto"/>
            <w:tcMar>
              <w:top w:w="120" w:type="dxa"/>
              <w:left w:w="192" w:type="dxa"/>
              <w:bottom w:w="120" w:type="dxa"/>
              <w:right w:w="0" w:type="dxa"/>
            </w:tcMar>
            <w:vAlign w:val="center"/>
          </w:tcPr>
          <w:p w14:paraId="57F163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r>
      <w:tr w14:paraId="6A0B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2A44F6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w:t>
            </w:r>
          </w:p>
        </w:tc>
        <w:tc>
          <w:tcPr>
            <w:tcW w:w="1562" w:type="dxa"/>
            <w:shd w:val="clear" w:color="auto" w:fill="auto"/>
            <w:tcMar>
              <w:top w:w="120" w:type="dxa"/>
              <w:left w:w="192" w:type="dxa"/>
              <w:bottom w:w="120" w:type="dxa"/>
              <w:right w:w="192" w:type="dxa"/>
            </w:tcMar>
            <w:vAlign w:val="center"/>
          </w:tcPr>
          <w:p w14:paraId="6C26C0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基础平台安全类</w:t>
            </w:r>
          </w:p>
        </w:tc>
        <w:tc>
          <w:tcPr>
            <w:tcW w:w="1665" w:type="dxa"/>
            <w:shd w:val="clear" w:color="auto" w:fill="auto"/>
            <w:tcMar>
              <w:top w:w="120" w:type="dxa"/>
              <w:left w:w="192" w:type="dxa"/>
              <w:bottom w:w="120" w:type="dxa"/>
              <w:right w:w="192" w:type="dxa"/>
            </w:tcMar>
            <w:vAlign w:val="center"/>
          </w:tcPr>
          <w:p w14:paraId="42129F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《零信任安全接入平台运维手册》</w:t>
            </w:r>
          </w:p>
        </w:tc>
        <w:tc>
          <w:tcPr>
            <w:tcW w:w="2831" w:type="dxa"/>
            <w:shd w:val="clear" w:color="auto" w:fill="auto"/>
            <w:tcMar>
              <w:top w:w="120" w:type="dxa"/>
              <w:left w:w="192" w:type="dxa"/>
              <w:bottom w:w="120" w:type="dxa"/>
              <w:right w:w="192" w:type="dxa"/>
            </w:tcMar>
            <w:vAlign w:val="center"/>
          </w:tcPr>
          <w:p w14:paraId="0149B0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包含客户端的部署与升级、日常登录认证问题排查、策略验证、与各业务系统的对接配置说明及应急处理流程。</w:t>
            </w:r>
          </w:p>
        </w:tc>
        <w:tc>
          <w:tcPr>
            <w:tcW w:w="908" w:type="dxa"/>
            <w:shd w:val="clear" w:color="auto" w:fill="auto"/>
            <w:tcMar>
              <w:top w:w="120" w:type="dxa"/>
              <w:left w:w="192" w:type="dxa"/>
              <w:bottom w:w="120" w:type="dxa"/>
              <w:right w:w="192" w:type="dxa"/>
            </w:tcMar>
            <w:vAlign w:val="center"/>
          </w:tcPr>
          <w:p w14:paraId="54DD4D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数智运营部、研究总院</w:t>
            </w:r>
          </w:p>
        </w:tc>
        <w:tc>
          <w:tcPr>
            <w:tcW w:w="1003" w:type="dxa"/>
            <w:shd w:val="clear" w:color="auto" w:fill="auto"/>
            <w:tcMar>
              <w:top w:w="120" w:type="dxa"/>
              <w:left w:w="192" w:type="dxa"/>
              <w:bottom w:w="120" w:type="dxa"/>
              <w:right w:w="0" w:type="dxa"/>
            </w:tcMar>
            <w:vAlign w:val="center"/>
          </w:tcPr>
          <w:p w14:paraId="0BD24B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2025年Q3</w:t>
            </w:r>
          </w:p>
        </w:tc>
      </w:tr>
    </w:tbl>
    <w:p w14:paraId="59EFC3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手册研发标准：所有新编手册将遵循公司统一的模板与编写规范，确保结构清晰（概述、环境要求、操作步骤、故障处理、附录等）、语言准确、图文并茂，并纳入公司知识库进行版本管理与共享。</w:t>
      </w:r>
    </w:p>
    <w:p w14:paraId="4C7B3CD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7751"/>
      <w:r>
        <w:rPr>
          <w:rFonts w:hint="default"/>
          <w:lang w:val="en-US" w:eastAsia="zh-CN"/>
        </w:rPr>
        <w:t>新技术研发规划</w:t>
      </w:r>
      <w:bookmarkEnd w:id="14"/>
    </w:p>
    <w:p w14:paraId="71C104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当前纯软件运维的业务背景及现有自动化工具（如财务机器人）的成功实践，为持续提升运维效率、扩展服务能力并构建技术壁垒，2025年度将启动以“运维智能化”与“流程超自动化”为核心的新技术研发探索。</w:t>
      </w:r>
    </w:p>
    <w:p w14:paraId="1D0DA99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1424"/>
      <w:r>
        <w:rPr>
          <w:rFonts w:hint="default"/>
          <w:lang w:val="en-US" w:eastAsia="zh-CN"/>
        </w:rPr>
        <w:t>研发方向与目标</w:t>
      </w:r>
      <w:bookmarkEnd w:id="15"/>
    </w:p>
    <w:p w14:paraId="088696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本阶段新技术研发将聚焦以下两个方向：</w:t>
      </w:r>
    </w:p>
    <w:p w14:paraId="2CF6A6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AIOps）场景化应用探索：结合现有监控与运维数据，探索利用机器学习算法实现告警智能降噪、故障根因自动定位、以及系统容量与性能的趋势预测。目标是将部分人工经验判断转化为系统智能分析，实现从“被动响应”到“主动预防”的初期能力建设。</w:t>
      </w:r>
    </w:p>
    <w:p w14:paraId="788044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超自动化流程拓展：在现有财务机器人等点状自动化成功的基础上，研究“机器人流程自动化（RPA）”与“低代码工作流”在更广泛运维场景（如跨系统数据同步、合规性自动检查、报告自动生成）中的集成与应用模式。目标是构建可复用的自动化组件库，降低新自动化场景的构建门槛与周期。</w:t>
      </w:r>
    </w:p>
    <w:p w14:paraId="1A1C23B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8278"/>
      <w:r>
        <w:rPr>
          <w:rFonts w:hint="default"/>
          <w:lang w:val="en-US" w:eastAsia="zh-CN"/>
        </w:rPr>
        <w:t>实施路径</w:t>
      </w:r>
      <w:bookmarkEnd w:id="16"/>
    </w:p>
    <w:p w14:paraId="0B7307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新技术研发将采用“小步快跑、试点先行”的策略：</w:t>
      </w:r>
    </w:p>
    <w:p w14:paraId="2B43B0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预研与评估（2025年Q2-Q3）：成立虚拟技术小组，对AIOps开源框架（如Prometheus Stack的AI插件）和主流RPA平台进行技术选型评估，并选择1-2个高频率、规则清晰的运维场景（如日志错误模式识别、月度巡检报告生成）进行技术可行性验证与原型开发。</w:t>
      </w:r>
    </w:p>
    <w:p w14:paraId="0CE78E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与融合（2025年Q4）：将初步验证成功的原型在公司内部非核心环境中进行小范围试点运行，评估其稳定性、准确性与效率提升效果。同时，探索其与正在研发的“智能服务管理与分析平台”及“知识库”的数据接口与流程整合可能性。</w:t>
      </w:r>
    </w:p>
    <w:p w14:paraId="6583938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4673"/>
      <w:r>
        <w:rPr>
          <w:rFonts w:hint="default"/>
          <w:lang w:val="en-US" w:eastAsia="zh-CN"/>
        </w:rPr>
        <w:t>资源投入</w:t>
      </w:r>
      <w:bookmarkEnd w:id="17"/>
    </w:p>
    <w:p w14:paraId="02A252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初期不设专职团队，由研究总院牵头，抽调数智运营部的业务骨干与研发工程师以兼职形式组成虚拟小组。年度预留 15万元 作为专项探索经费，用于外部的技术培训、云上实验资源及必要的概念验证（PoC）工具采购。本阶段重在能力建设和方向验证，为未来可能的规模化投入奠定基础。</w:t>
      </w:r>
    </w:p>
    <w:p w14:paraId="1A9AB25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8652"/>
      <w:r>
        <w:rPr>
          <w:rFonts w:hint="default"/>
          <w:lang w:val="en-US" w:eastAsia="zh-CN"/>
        </w:rPr>
        <w:t>资源与经费</w:t>
      </w:r>
      <w:bookmarkEnd w:id="18"/>
    </w:p>
    <w:p w14:paraId="3CD09C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本次规划涉及多个研发项目，总预算将分阶段、按项目进行申请与投入。2025年度项目经费估算如下：</w:t>
      </w:r>
    </w:p>
    <w:p w14:paraId="6CA666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表6-1 2025年度研发经费估算表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1BA4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31007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BB05A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F0E1A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6E25C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金额（万元）</w:t>
            </w:r>
          </w:p>
        </w:tc>
      </w:tr>
      <w:tr w14:paraId="2E15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1433B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A7998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F013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2EE0A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0068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6EAF2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E45B8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73CE8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261FE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0D75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CF423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FC06A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6F0D4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BAEEF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bidi="ar"/>
              </w:rPr>
              <w:t>4</w:t>
            </w:r>
          </w:p>
        </w:tc>
      </w:tr>
      <w:tr w14:paraId="32BDE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9A3F8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624AF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49668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EDAFD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bidi="ar"/>
              </w:rPr>
              <w:t>4</w:t>
            </w:r>
          </w:p>
        </w:tc>
      </w:tr>
      <w:tr w14:paraId="04D99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C27B8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F9028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45C9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C5718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6644B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21573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2CBD9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E4242B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39429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7CB3C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695646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18D85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eastAsia" w:ascii="Segoe UI" w:hAnsi="Segoe UI" w:eastAsia="Segoe UI" w:cs="Segoe UI"/>
                <w:b/>
                <w:bCs/>
                <w:i w:val="0"/>
                <w:iCs w:val="0"/>
                <w:caps w:val="0"/>
                <w:snapToGrid w:val="0"/>
                <w:color w:val="000000"/>
                <w:spacing w:val="0"/>
                <w:kern w:val="0"/>
                <w:sz w:val="18"/>
                <w:szCs w:val="18"/>
                <w:lang w:val="en-US" w:eastAsia="zh-CN" w:bidi="ar"/>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B59514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Segoe UI" w:cs="Segoe UI"/>
                <w:i w:val="0"/>
                <w:iCs w:val="0"/>
                <w:caps w:val="0"/>
                <w:color w:val="0F1115"/>
                <w:spacing w:val="0"/>
                <w:sz w:val="18"/>
                <w:szCs w:val="18"/>
              </w:rPr>
            </w:pP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2D70F9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74A5DC5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B1355">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47858"/>
    <w:rsid w:val="06C67440"/>
    <w:rsid w:val="07A56FBB"/>
    <w:rsid w:val="08760957"/>
    <w:rsid w:val="0A3208AE"/>
    <w:rsid w:val="10611EED"/>
    <w:rsid w:val="1114630A"/>
    <w:rsid w:val="11E159AE"/>
    <w:rsid w:val="11FF19BD"/>
    <w:rsid w:val="12B02CB8"/>
    <w:rsid w:val="16A84CFF"/>
    <w:rsid w:val="174560C4"/>
    <w:rsid w:val="1A494ADF"/>
    <w:rsid w:val="1F460C2C"/>
    <w:rsid w:val="25F34F3E"/>
    <w:rsid w:val="26EF3957"/>
    <w:rsid w:val="28F05F01"/>
    <w:rsid w:val="2A6603D4"/>
    <w:rsid w:val="39FC040D"/>
    <w:rsid w:val="3ECD05CA"/>
    <w:rsid w:val="40F40090"/>
    <w:rsid w:val="42B032DA"/>
    <w:rsid w:val="44A3295D"/>
    <w:rsid w:val="49521DF7"/>
    <w:rsid w:val="4B120D4A"/>
    <w:rsid w:val="4B1B26BD"/>
    <w:rsid w:val="4BCE1CA6"/>
    <w:rsid w:val="4CB846A2"/>
    <w:rsid w:val="51AC22C1"/>
    <w:rsid w:val="53664F90"/>
    <w:rsid w:val="55B47996"/>
    <w:rsid w:val="5BD719B1"/>
    <w:rsid w:val="5E7572C2"/>
    <w:rsid w:val="62222D23"/>
    <w:rsid w:val="626C3AD2"/>
    <w:rsid w:val="669D3FA2"/>
    <w:rsid w:val="684D08E7"/>
    <w:rsid w:val="69A676DD"/>
    <w:rsid w:val="6A242EE4"/>
    <w:rsid w:val="6A356EA0"/>
    <w:rsid w:val="73593BFF"/>
    <w:rsid w:val="76EC4D8A"/>
    <w:rsid w:val="7D7E2D3F"/>
    <w:rsid w:val="7DE01E45"/>
    <w:rsid w:val="7FEF46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1872</Words>
  <Characters>2066</Characters>
  <Lines>0</Lines>
  <Paragraphs>0</Paragraphs>
  <TotalTime>2</TotalTime>
  <ScaleCrop>false</ScaleCrop>
  <LinksUpToDate>false</LinksUpToDate>
  <CharactersWithSpaces>2154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2026-01-28T15:21:26Z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