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F1DB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750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26C5E15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3013"/>
      <w:r>
        <w:rPr>
          <w:rFonts w:hint="eastAsia"/>
          <w:lang w:val="en-US" w:eastAsia="zh-CN"/>
        </w:rPr>
        <w:t>2025年1-11月运维服务技术研发报告</w:t>
      </w:r>
      <w:bookmarkEnd w:id="1"/>
    </w:p>
    <w:p w14:paraId="6FE555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B1B4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8E91C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研究总院</w:t>
            </w:r>
          </w:p>
        </w:tc>
        <w:tc>
          <w:tcPr>
            <w:tcW w:w="2708" w:type="dxa"/>
          </w:tcPr>
          <w:p w14:paraId="0A66C2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50BF2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AE51F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E2581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5934F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7EC87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098E7B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7170E80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B87D23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熊发云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28C4A4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1CB6D9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381EB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_Toc7506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C5BC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2025年1-11月运维服务技术研发报告</w:t>
          </w:r>
          <w:r>
            <w:tab/>
          </w:r>
          <w:r>
            <w:fldChar w:fldCharType="begin"/>
          </w:r>
          <w:r>
            <w:instrText xml:space="preserve"> PAGEREF _Toc3013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F8E23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年度研发工作概述</w:t>
          </w:r>
          <w:r>
            <w:tab/>
          </w:r>
          <w:r>
            <w:fldChar w:fldCharType="begin"/>
          </w:r>
          <w:r>
            <w:instrText xml:space="preserve"> PAGEREF _Toc1015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2194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主要研发项目完成情况</w:t>
          </w:r>
          <w:r>
            <w:tab/>
          </w:r>
          <w:r>
            <w:fldChar w:fldCharType="begin"/>
          </w:r>
          <w:r>
            <w:instrText xml:space="preserve"> PAGEREF _Toc11564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EE21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智能服务管理与分析平台项目</w:t>
          </w:r>
          <w:r>
            <w:tab/>
          </w:r>
          <w:r>
            <w:fldChar w:fldCharType="begin"/>
          </w:r>
          <w:r>
            <w:instrText xml:space="preserve"> PAGEREF _Toc9950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94896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场景化知识库与智能辅助系统研发</w:t>
          </w:r>
          <w:r>
            <w:tab/>
          </w:r>
          <w:r>
            <w:fldChar w:fldCharType="begin"/>
          </w:r>
          <w:r>
            <w:instrText xml:space="preserve"> PAGEREF _Toc6601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6FFB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运维手册研发情况</w:t>
          </w:r>
          <w:r>
            <w:tab/>
          </w:r>
          <w:r>
            <w:fldChar w:fldCharType="begin"/>
          </w:r>
          <w:r>
            <w:instrText xml:space="preserve"> PAGEREF _Toc8499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8FD4C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新技术研发进展情况</w:t>
          </w:r>
          <w:r>
            <w:tab/>
          </w:r>
          <w:r>
            <w:fldChar w:fldCharType="begin"/>
          </w:r>
          <w:r>
            <w:instrText xml:space="preserve"> PAGEREF _Toc10729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0AB35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资金使用情况</w:t>
          </w:r>
          <w:r>
            <w:tab/>
          </w:r>
          <w:r>
            <w:fldChar w:fldCharType="begin"/>
          </w:r>
          <w:r>
            <w:instrText xml:space="preserve"> PAGEREF _Toc13463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109B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总结与展望</w:t>
          </w:r>
          <w:r>
            <w:tab/>
          </w:r>
          <w:r>
            <w:fldChar w:fldCharType="begin"/>
          </w:r>
          <w:r>
            <w:instrText xml:space="preserve"> PAGEREF _Toc24840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28F0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AFA4CA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F9F040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015"/>
      <w:r>
        <w:rPr>
          <w:rFonts w:hint="default"/>
          <w:lang w:val="en-US" w:eastAsia="zh-CN"/>
        </w:rPr>
        <w:t>年度研发工作概述</w:t>
      </w:r>
      <w:bookmarkEnd w:id="2"/>
    </w:p>
    <w:p w14:paraId="5D4675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，研究总院严格遵循《运维服务技术研发规划》的指引，聚焦“数智运营”转型目标，协同各业务部门，扎实推进各项研发任务。本年度核心目标是构建“管理智能、知识内嵌、操作自动、文档规范”的运维能力体系。截至报告期末，规划内主要项目均已完成或超额完成阶段性目标，新技术探索取得初步成果，资金使用符合预算计划，为公司运维服务能力的升级奠定了坚实的技术基础。</w:t>
      </w:r>
    </w:p>
    <w:p w14:paraId="02D9A89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1564"/>
      <w:r>
        <w:rPr>
          <w:rFonts w:hint="default"/>
          <w:lang w:val="en-US" w:eastAsia="zh-CN"/>
        </w:rPr>
        <w:t>主要研发项目完成情况</w:t>
      </w:r>
      <w:bookmarkEnd w:id="3"/>
    </w:p>
    <w:p w14:paraId="00278C8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9950"/>
      <w:r>
        <w:rPr>
          <w:rFonts w:hint="default"/>
          <w:lang w:val="en-US" w:eastAsia="zh-CN"/>
        </w:rPr>
        <w:t>智能服务管理与分析平台项目</w:t>
      </w:r>
      <w:bookmarkEnd w:id="4"/>
    </w:p>
    <w:p w14:paraId="0F7B69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完成状态：已上线并进入全面推广阶段。</w:t>
      </w:r>
    </w:p>
    <w:p w14:paraId="18212D7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核心成果：</w:t>
      </w:r>
    </w:p>
    <w:p w14:paraId="15F81E8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智能公告中心</w:t>
      </w:r>
      <w:r>
        <w:rPr>
          <w:rFonts w:hint="eastAsia"/>
          <w:lang w:val="en-US" w:eastAsia="zh-CN"/>
        </w:rPr>
        <w:t>模块</w:t>
      </w:r>
      <w:bookmarkStart w:id="9" w:name="_GoBack"/>
      <w:bookmarkEnd w:id="9"/>
    </w:p>
    <w:p w14:paraId="7EC73B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已完成开发并于Q3上线。实现了公告的分级分类、定向推送与强制阅读确认功能，关键信息阅读确认率从不足70%提升至98%以上，显著解决了信息触达不到位的痛点。</w:t>
      </w:r>
    </w:p>
    <w:p w14:paraId="0CAC64E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实时满意度反馈模块</w:t>
      </w:r>
    </w:p>
    <w:p w14:paraId="6FF038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已于Q3部署完成。在服务工单关闭后自动触发满意度评价，替代了原有的月度手动填报模式。目前已累计收集实时反馈数据</w:t>
      </w:r>
      <w:r>
        <w:rPr>
          <w:rFonts w:hint="eastAsia"/>
          <w:lang w:val="en-US" w:eastAsia="zh-CN"/>
        </w:rPr>
        <w:t>超过千条</w:t>
      </w:r>
      <w:r>
        <w:rPr>
          <w:rFonts w:hint="default"/>
          <w:lang w:val="en-US" w:eastAsia="zh-CN"/>
        </w:rPr>
        <w:t>，为服务质量分析提供了及时、准确的数据源。</w:t>
      </w:r>
    </w:p>
    <w:p w14:paraId="1F3D2C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服务价值可视化报表：于Q4初完成开发。成功整合了SLA数据、事件处理效率与实时满意度数据，生成了多维度、可下钻的分析看板。该看板已成为数智运营部月度服务评审会的核心决策工具。</w:t>
      </w:r>
    </w:p>
    <w:p w14:paraId="511CA7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里程碑达成：所有计划模块均按《研发进度表》如期完成开发、测试，并于2025年10月试点成功，目前正组织全国范围的推广培训。</w:t>
      </w:r>
    </w:p>
    <w:p w14:paraId="341FA42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8499"/>
      <w:r>
        <w:rPr>
          <w:rFonts w:hint="default"/>
          <w:lang w:val="en-US" w:eastAsia="zh-CN"/>
        </w:rPr>
        <w:t>运维手册研发情况</w:t>
      </w:r>
      <w:bookmarkEnd w:id="5"/>
    </w:p>
    <w:p w14:paraId="14E803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完成状态：年度计划手册全部完成编撰与评审，已纳入知识库统一管理。</w:t>
      </w:r>
    </w:p>
    <w:p w14:paraId="64A669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核心成果：严格按《手册研发计划表》推进，完成了关键手册的标准化研发：</w:t>
      </w:r>
    </w:p>
    <w:p w14:paraId="1E1339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《财务机器人系列运维手册》：已于Q3发布，涵盖了往来核销、报表自动化等机器人的全生命周期操作指南，成为相关岗位的必备工具书。</w:t>
      </w:r>
    </w:p>
    <w:p w14:paraId="623CAE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《零信任安全接入平台运维手册》：Q3发布，整合了客户端部署、日常故障排查（FAQ）及应急流程，使零信任相关的支持效率提升30%。</w:t>
      </w:r>
    </w:p>
    <w:p w14:paraId="4F8CD7F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标准化建设：所有新编手册均遵循公司统一模板，结构清晰、图文并茂，并建立了与知识库联动的定期评审与更新机制，初步形成了体系化的运维知识资产。</w:t>
      </w:r>
    </w:p>
    <w:p w14:paraId="3B92B9B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0729"/>
      <w:r>
        <w:rPr>
          <w:rFonts w:hint="default"/>
          <w:lang w:val="en-US" w:eastAsia="zh-CN"/>
        </w:rPr>
        <w:t>新技术研发进展情况</w:t>
      </w:r>
      <w:bookmarkEnd w:id="6"/>
    </w:p>
    <w:p w14:paraId="1136FB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完成状态：预研与评估阶段顺利完成，已进入原型验证阶段。</w:t>
      </w:r>
    </w:p>
    <w:p w14:paraId="06AA8E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核心进展：</w:t>
      </w:r>
    </w:p>
    <w:p w14:paraId="5F4D83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Ops场景探索：Q2-Q3期间，技术虚拟小组完成了对开源框架的技术评估。Q4起，已选取“Nginx访问日志错误模式自动识别”作为首个PoC场景，目前原型系统正在测试环境中运行，初步验证了通过简单规则引擎实现异常模式过滤的可行性。</w:t>
      </w:r>
    </w:p>
    <w:p w14:paraId="7BC19C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超自动化流程拓展：基于现有RPA经验，对低代码工作流平台进行了选型研究。已完成“月度运维报告数据自动采集与生成”流程的设计，计划于12月进行自动化流程部署测试。</w:t>
      </w:r>
    </w:p>
    <w:p w14:paraId="15C30C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融合探索：已初步规划了智能告警事件与知识库解决方案、自动化流程的联动接口方案，为2026年深度集成打下基础。</w:t>
      </w:r>
    </w:p>
    <w:p w14:paraId="78BDC7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阶段结论：本年度新技术研发工作实现了从0到1的突破，明确了技术路线，积累了初步实践经验，达到了“能力建设和方向验证”的预期目标。</w:t>
      </w:r>
    </w:p>
    <w:p w14:paraId="31E38F5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3463"/>
      <w:r>
        <w:rPr>
          <w:rFonts w:hint="default"/>
          <w:lang w:val="en-US" w:eastAsia="zh-CN"/>
        </w:rPr>
        <w:t>资金使用情况</w:t>
      </w:r>
      <w:bookmarkEnd w:id="7"/>
    </w:p>
    <w:p w14:paraId="244D8DD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2025年度，研发规划预算总额为103万元。截至2025年11月20日，实际支出共计96.8万元，预算执行率为94%，资金使用健康、合理，主要支出情况如下：</w:t>
      </w:r>
    </w:p>
    <w:p w14:paraId="5371E1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人力资源成本（60万元预算）：实际支出60万元，执行率100%。为研发团队薪酬、奖金，是项目顺利推进的根本保障。</w:t>
      </w:r>
    </w:p>
    <w:p w14:paraId="4C5520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软硬件及云资源采购（12万元预算）：实际支出11.5万元。主要用于智能平台生产环境云服务器租赁及部分商业BI组件许可采购。</w:t>
      </w:r>
    </w:p>
    <w:p w14:paraId="757AAD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专项费用（31万元预算）：</w:t>
      </w:r>
    </w:p>
    <w:p w14:paraId="738A42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手册研发（8万元）：实际支出7.8万元，用于手册编写、评审及</w:t>
      </w:r>
      <w:r>
        <w:rPr>
          <w:rFonts w:hint="eastAsia"/>
          <w:lang w:val="en-US" w:eastAsia="zh-CN"/>
        </w:rPr>
        <w:t>知识</w:t>
      </w:r>
      <w:r>
        <w:rPr>
          <w:rFonts w:hint="default"/>
          <w:lang w:val="en-US" w:eastAsia="zh-CN"/>
        </w:rPr>
        <w:t>适配。</w:t>
      </w:r>
    </w:p>
    <w:p w14:paraId="1C6D33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新技术研发（15万元）：实际支出13.5万元，用于技术培训、PoC环境搭建及外部专家咨询。</w:t>
      </w:r>
    </w:p>
    <w:p w14:paraId="03090E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外包咨询与培训推广（8万元）：实际支出4万元，主要用于安全测试服务及内部推广活动，部分培训计划调整至2026年初执行，故有结余。</w:t>
      </w:r>
    </w:p>
    <w:p w14:paraId="238492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资金结余：累计结余6.2万元，主要为部分软硬件采购的节余及调整至下年度的培训费用。所有结余资金将按公司财务制度管理，可用于规划内项目的后续优化或经批准后转入下年度研发计划。</w:t>
      </w:r>
    </w:p>
    <w:p w14:paraId="431C25B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4840"/>
      <w:r>
        <w:rPr>
          <w:rFonts w:hint="default"/>
          <w:lang w:val="en-US" w:eastAsia="zh-CN"/>
        </w:rPr>
        <w:t>总结与展望</w:t>
      </w:r>
      <w:bookmarkEnd w:id="8"/>
    </w:p>
    <w:p w14:paraId="4570F1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2025年度运维服务技术研发工作整体达成既定目标，在平台智能化、知识体系化、操作自动化及技术前瞻性等方面均取得了实质性进展。这些成果直接提升了运维服务的效率、质量与客户感知。</w:t>
      </w:r>
    </w:p>
    <w:p w14:paraId="6FAD8E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展望2026年，研究总院将在巩固本年度成果的基础上，重点推进智能服务平台的深化应用与全国推广，完成知识库系统的全面优化，并依据本年度的预研成果，审慎推进1-2个AIOps或超自动化场景的试点落地，持续驱动公司运维服务能力与核心竞争力的提升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B0AE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247F8A"/>
    <w:rsid w:val="10A65097"/>
    <w:rsid w:val="11643A36"/>
    <w:rsid w:val="129465AA"/>
    <w:rsid w:val="1432607A"/>
    <w:rsid w:val="153D5589"/>
    <w:rsid w:val="17FD24FB"/>
    <w:rsid w:val="1B0E4A1F"/>
    <w:rsid w:val="20DF30E6"/>
    <w:rsid w:val="233B47F8"/>
    <w:rsid w:val="23434595"/>
    <w:rsid w:val="28C66939"/>
    <w:rsid w:val="3E9F6609"/>
    <w:rsid w:val="3F700329"/>
    <w:rsid w:val="4FC33CA7"/>
    <w:rsid w:val="541127AE"/>
    <w:rsid w:val="56BA45DA"/>
    <w:rsid w:val="6F1628E8"/>
    <w:rsid w:val="73321636"/>
    <w:rsid w:val="74BA7D9A"/>
    <w:rsid w:val="77B40592"/>
    <w:rsid w:val="783E5692"/>
    <w:rsid w:val="7A454EDD"/>
    <w:rsid w:val="7F07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2264</Words>
  <Characters>2452</Characters>
  <Lines>0</Lines>
  <Paragraphs>0</Paragraphs>
  <TotalTime>0</TotalTime>
  <ScaleCrop>false</ScaleCrop>
  <LinksUpToDate>false</LinksUpToDate>
  <CharactersWithSpaces>2490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2026-01-28T16:14:42Z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