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21E3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139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1080360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7351"/>
      <w:r>
        <w:rPr>
          <w:rFonts w:hint="eastAsia"/>
          <w:lang w:val="en-US" w:eastAsia="zh-CN"/>
        </w:rPr>
        <w:t>运维服务工具自评估报告</w:t>
      </w:r>
      <w:bookmarkEnd w:id="1"/>
    </w:p>
    <w:p w14:paraId="12F20FE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0AD8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7E78EA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320F9C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  <w:tr w14:paraId="2C6F5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09261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FC739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  <w:tr w14:paraId="7A1F3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76385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41ED4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</w:tbl>
    <w:p w14:paraId="2589FB9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5BB159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388346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0E7728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280BB7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_Toc31390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F3A75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运维服务工具自评估报告</w:t>
          </w:r>
          <w:r>
            <w:tab/>
          </w:r>
          <w:r>
            <w:fldChar w:fldCharType="begin"/>
          </w:r>
          <w:r>
            <w:instrText xml:space="preserve"> PAGEREF _Toc17351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1C93A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4"/>
            </w:rPr>
            <w:t xml:space="preserve">1. </w:t>
          </w:r>
          <w:r>
            <w:rPr>
              <w:rFonts w:hint="eastAsia" w:ascii="宋体" w:hAnsi="宋体" w:eastAsia="宋体" w:cs="宋体"/>
              <w:szCs w:val="24"/>
            </w:rPr>
            <w:t>过程管理工具</w:t>
          </w:r>
          <w:r>
            <w:tab/>
          </w:r>
          <w:r>
            <w:fldChar w:fldCharType="begin"/>
          </w:r>
          <w:r>
            <w:instrText xml:space="preserve"> PAGEREF _Toc8475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F2A1B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4"/>
            </w:rPr>
            <w:t xml:space="preserve">2. </w:t>
          </w:r>
          <w:r>
            <w:rPr>
              <w:rFonts w:hint="eastAsia" w:ascii="宋体" w:hAnsi="宋体" w:eastAsia="宋体" w:cs="宋体"/>
              <w:szCs w:val="24"/>
            </w:rPr>
            <w:t>监控工具</w:t>
          </w:r>
          <w:r>
            <w:tab/>
          </w:r>
          <w:r>
            <w:fldChar w:fldCharType="begin"/>
          </w:r>
          <w:r>
            <w:instrText xml:space="preserve"> PAGEREF _Toc26534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23D4C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4CD67A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tbl>
      <w:tblPr>
        <w:tblStyle w:val="26"/>
        <w:tblW w:w="14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307"/>
        <w:gridCol w:w="2874"/>
        <w:gridCol w:w="2543"/>
        <w:gridCol w:w="1986"/>
        <w:gridCol w:w="3196"/>
        <w:gridCol w:w="1343"/>
      </w:tblGrid>
      <w:tr w14:paraId="147470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275" w:type="dxa"/>
            <w:shd w:val="clear" w:color="auto" w:fill="E5E5E5"/>
          </w:tcPr>
          <w:p w14:paraId="252529DE">
            <w:pPr>
              <w:spacing w:before="215" w:line="289" w:lineRule="auto"/>
              <w:ind w:left="538" w:right="110" w:hanging="4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 w14:paraId="6C22D823">
            <w:pPr>
              <w:pStyle w:val="27"/>
              <w:spacing w:line="303" w:lineRule="auto"/>
            </w:pPr>
          </w:p>
          <w:p w14:paraId="4FDDB876">
            <w:pPr>
              <w:spacing w:before="65" w:line="229" w:lineRule="auto"/>
              <w:ind w:left="2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2874" w:type="dxa"/>
            <w:shd w:val="clear" w:color="auto" w:fill="E5E5E5"/>
          </w:tcPr>
          <w:p w14:paraId="3A176312">
            <w:pPr>
              <w:spacing w:before="214" w:line="229" w:lineRule="auto"/>
              <w:ind w:left="5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主要功能</w:t>
            </w:r>
          </w:p>
          <w:p w14:paraId="108A8E38">
            <w:pPr>
              <w:spacing w:before="63" w:line="228" w:lineRule="auto"/>
              <w:ind w:left="1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（关键功能说明）</w:t>
            </w:r>
          </w:p>
        </w:tc>
        <w:tc>
          <w:tcPr>
            <w:tcW w:w="2543" w:type="dxa"/>
            <w:shd w:val="clear" w:color="auto" w:fill="E5E5E5"/>
          </w:tcPr>
          <w:p w14:paraId="19B292DE">
            <w:pPr>
              <w:spacing w:before="214" w:line="228" w:lineRule="auto"/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使用情况说明</w:t>
            </w:r>
          </w:p>
          <w:p w14:paraId="672DB286">
            <w:pPr>
              <w:spacing w:before="214" w:line="228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（工具使用的客户及项目）</w:t>
            </w:r>
          </w:p>
        </w:tc>
        <w:tc>
          <w:tcPr>
            <w:tcW w:w="1986" w:type="dxa"/>
            <w:shd w:val="clear" w:color="auto" w:fill="E5E5E5"/>
          </w:tcPr>
          <w:p w14:paraId="1DC18C44">
            <w:pPr>
              <w:spacing w:before="58" w:line="228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工具来源</w:t>
            </w:r>
          </w:p>
          <w:p w14:paraId="4843EE1E">
            <w:pPr>
              <w:spacing w:before="66" w:line="263" w:lineRule="auto"/>
              <w:ind w:right="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（开源工具、</w:t>
            </w:r>
            <w:r>
              <w:rPr>
                <w:rFonts w:ascii="宋体" w:hAnsi="宋体" w:eastAsia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自主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 w14:paraId="3C810779">
            <w:pPr>
              <w:pStyle w:val="27"/>
              <w:spacing w:line="303" w:lineRule="auto"/>
            </w:pPr>
          </w:p>
          <w:p w14:paraId="0182F29C">
            <w:pPr>
              <w:spacing w:before="65" w:line="226" w:lineRule="auto"/>
              <w:ind w:left="76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 w14:paraId="7F146C99">
            <w:pPr>
              <w:spacing w:before="215" w:line="290" w:lineRule="auto"/>
              <w:ind w:left="476" w:right="302" w:hanging="16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 w14:paraId="546817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1275" w:type="dxa"/>
            <w:vAlign w:val="center"/>
          </w:tcPr>
          <w:p w14:paraId="476BED3F">
            <w:pPr>
              <w:pStyle w:val="2"/>
              <w:bidi w:val="0"/>
              <w:rPr>
                <w:rFonts w:ascii="宋体" w:hAnsi="宋体" w:eastAsia="宋体" w:cs="宋体"/>
                <w:sz w:val="24"/>
                <w:szCs w:val="24"/>
              </w:rPr>
            </w:pPr>
            <w:bookmarkStart w:id="2" w:name="_Toc8475"/>
            <w:r>
              <w:rPr>
                <w:rFonts w:hint="eastAsia" w:ascii="宋体" w:hAnsi="宋体" w:eastAsia="宋体" w:cs="宋体"/>
                <w:sz w:val="24"/>
                <w:szCs w:val="24"/>
              </w:rPr>
              <w:t>过程管理工具</w:t>
            </w:r>
            <w:bookmarkEnd w:id="2"/>
          </w:p>
        </w:tc>
        <w:tc>
          <w:tcPr>
            <w:tcW w:w="1307" w:type="dxa"/>
            <w:vAlign w:val="center"/>
          </w:tcPr>
          <w:p w14:paraId="13E6FE67">
            <w:pPr>
              <w:spacing w:before="12" w:line="234" w:lineRule="auto"/>
              <w:ind w:left="118" w:right="107" w:firstLine="6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通服信息化服务平台</w:t>
            </w:r>
          </w:p>
        </w:tc>
        <w:tc>
          <w:tcPr>
            <w:tcW w:w="2874" w:type="dxa"/>
          </w:tcPr>
          <w:p w14:paraId="696A0875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成了工单全生命周期管理、统一服务门户、多系统协同处理与全景数据报表分析四大核心能力。平台构建了从“申告-受理-处理-办结-评价”的完整闭环流程，并融合了公告发布、模板库管理与服务满意度监测等模块，旨在为企业内部用户与运维团队提供标准化、透明化、高效化的统一服务入口与运营支撑。</w:t>
            </w:r>
          </w:p>
        </w:tc>
        <w:tc>
          <w:tcPr>
            <w:tcW w:w="2543" w:type="dxa"/>
            <w:vAlign w:val="center"/>
          </w:tcPr>
          <w:p w14:paraId="7AE27702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翔云系统运维及知识管理体系建设项目</w:t>
            </w:r>
          </w:p>
        </w:tc>
        <w:tc>
          <w:tcPr>
            <w:tcW w:w="1986" w:type="dxa"/>
            <w:vAlign w:val="center"/>
          </w:tcPr>
          <w:p w14:paraId="2531698C">
            <w:pPr>
              <w:spacing w:before="78" w:line="220" w:lineRule="auto"/>
              <w:ind w:left="56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自研</w:t>
            </w:r>
          </w:p>
        </w:tc>
        <w:tc>
          <w:tcPr>
            <w:tcW w:w="3196" w:type="dxa"/>
          </w:tcPr>
          <w:p w14:paraId="62D98291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投入应用后，成功构建了集工单流转、跨系统协同、数据分析和合规审计于一体的智能化运营支撑平台，实现了服务流程全线上化闭环管理、运维资源高效协同与集中调度，并依托实时数据看板与满意度报表驱动运营决策持续优化，全面提升了企业跨地域、多系统运维服务的响应效率、处理质量与安全管控水平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343" w:type="dxa"/>
            <w:vAlign w:val="center"/>
          </w:tcPr>
          <w:p w14:paraId="3B679F6A">
            <w:pPr>
              <w:spacing w:before="26" w:line="239" w:lineRule="auto"/>
              <w:ind w:left="120"/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徐超超</w:t>
            </w:r>
          </w:p>
          <w:p w14:paraId="3F9A3C57">
            <w:pPr>
              <w:spacing w:before="26" w:line="239" w:lineRule="auto"/>
              <w:ind w:left="120"/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2025.11.20</w:t>
            </w:r>
          </w:p>
        </w:tc>
      </w:tr>
      <w:tr w14:paraId="77867B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 w:hRule="atLeast"/>
        </w:trPr>
        <w:tc>
          <w:tcPr>
            <w:tcW w:w="1275" w:type="dxa"/>
            <w:vAlign w:val="center"/>
          </w:tcPr>
          <w:p w14:paraId="5494057B">
            <w:pPr>
              <w:pStyle w:val="2"/>
              <w:bidi w:val="0"/>
              <w:rPr>
                <w:rFonts w:ascii="宋体" w:hAnsi="宋体" w:eastAsia="宋体" w:cs="宋体"/>
                <w:sz w:val="24"/>
                <w:szCs w:val="24"/>
              </w:rPr>
            </w:pPr>
            <w:bookmarkStart w:id="3" w:name="_Toc26534"/>
            <w:r>
              <w:rPr>
                <w:rFonts w:hint="eastAsia" w:ascii="宋体" w:hAnsi="宋体" w:eastAsia="宋体" w:cs="宋体"/>
                <w:sz w:val="24"/>
                <w:szCs w:val="24"/>
              </w:rPr>
              <w:t>监控工具</w:t>
            </w:r>
            <w:bookmarkEnd w:id="3"/>
          </w:p>
        </w:tc>
        <w:tc>
          <w:tcPr>
            <w:tcW w:w="1307" w:type="dxa"/>
            <w:vAlign w:val="center"/>
          </w:tcPr>
          <w:p w14:paraId="05D9BC62">
            <w:pPr>
              <w:spacing w:before="12" w:line="234" w:lineRule="auto"/>
              <w:ind w:left="118" w:right="107" w:firstLine="6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运维安全与数据库审计管控平台</w:t>
            </w:r>
          </w:p>
        </w:tc>
        <w:tc>
          <w:tcPr>
            <w:tcW w:w="2874" w:type="dxa"/>
          </w:tcPr>
          <w:p w14:paraId="53E70D43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集成了服务器、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（RDS）、负载均衡（SLB）、对象存储（OSS）等多种云产品的管理功能，还包含数据管理服务（DMS）、运维审计、监控等模块，能够帮助企业对云计算资源进行集中化、精细化的运营与管理，适用于政务、企业数字化转型等场景</w:t>
            </w:r>
          </w:p>
        </w:tc>
        <w:tc>
          <w:tcPr>
            <w:tcW w:w="2543" w:type="dxa"/>
            <w:vAlign w:val="center"/>
          </w:tcPr>
          <w:p w14:paraId="457171D7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翔云系统运维及知识管理体系建设项目</w:t>
            </w:r>
            <w:bookmarkStart w:id="4" w:name="_GoBack"/>
            <w:bookmarkEnd w:id="4"/>
          </w:p>
        </w:tc>
        <w:tc>
          <w:tcPr>
            <w:tcW w:w="1986" w:type="dxa"/>
            <w:vAlign w:val="center"/>
          </w:tcPr>
          <w:p w14:paraId="4A7DB490">
            <w:pPr>
              <w:spacing w:before="78" w:line="221" w:lineRule="auto"/>
              <w:ind w:left="52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外购</w:t>
            </w:r>
          </w:p>
        </w:tc>
        <w:tc>
          <w:tcPr>
            <w:tcW w:w="3196" w:type="dxa"/>
          </w:tcPr>
          <w:p w14:paraId="1EB7B4FA">
            <w:pPr>
              <w:spacing w:before="12" w:line="234" w:lineRule="auto"/>
              <w:ind w:left="118" w:right="107" w:firstLine="6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该监控与治理工具集已全面应用于生产环境，形成了一套覆盖“服务状态-应用性能-安全防护-数据操作”的立体化监控体系。其中，服务网格与实例健康监控实现了微服务运行状态的实时可视与预警；内网安全防护模块常态化保障了终端与连接安全；同时，通过推行统一的MySQL设计规范并集成Archery SQL审核平台，所有数据库变更均实现了线上化、流程化与审计化管控，有效提升了系统稳定性、安全性与运维操作的合规性。</w:t>
            </w:r>
          </w:p>
        </w:tc>
        <w:tc>
          <w:tcPr>
            <w:tcW w:w="1343" w:type="dxa"/>
            <w:vAlign w:val="center"/>
          </w:tcPr>
          <w:p w14:paraId="3A6916EB">
            <w:pPr>
              <w:spacing w:before="26" w:line="239" w:lineRule="auto"/>
              <w:ind w:left="120"/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徐超超</w:t>
            </w:r>
          </w:p>
          <w:p w14:paraId="663B962E">
            <w:pPr>
              <w:spacing w:before="26" w:line="239" w:lineRule="auto"/>
              <w:ind w:left="120"/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2025.11.20</w:t>
            </w:r>
          </w:p>
        </w:tc>
      </w:tr>
    </w:tbl>
    <w:p w14:paraId="4BA75431">
      <w:pPr>
        <w:pStyle w:val="29"/>
        <w:ind w:left="0" w:leftChars="0" w:firstLine="0" w:firstLineChars="0"/>
        <w:rPr>
          <w:rFonts w:hint="default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9BC1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3144B8"/>
    <w:rsid w:val="0C6C00A7"/>
    <w:rsid w:val="0CEC743A"/>
    <w:rsid w:val="0F45621F"/>
    <w:rsid w:val="12A12A75"/>
    <w:rsid w:val="1578138A"/>
    <w:rsid w:val="1AD10F75"/>
    <w:rsid w:val="2412732E"/>
    <w:rsid w:val="29F01EC0"/>
    <w:rsid w:val="2B471FB3"/>
    <w:rsid w:val="2DAF2092"/>
    <w:rsid w:val="34EE524E"/>
    <w:rsid w:val="35E774B5"/>
    <w:rsid w:val="35F706EC"/>
    <w:rsid w:val="36922B60"/>
    <w:rsid w:val="39B337F4"/>
    <w:rsid w:val="40D27557"/>
    <w:rsid w:val="4DC23F05"/>
    <w:rsid w:val="51D535C6"/>
    <w:rsid w:val="539B25ED"/>
    <w:rsid w:val="55FD390D"/>
    <w:rsid w:val="56BB3D47"/>
    <w:rsid w:val="60152EE6"/>
    <w:rsid w:val="60CD6D80"/>
    <w:rsid w:val="66C8504F"/>
    <w:rsid w:val="68BC0BE4"/>
    <w:rsid w:val="6A682DD1"/>
    <w:rsid w:val="6DAB683B"/>
    <w:rsid w:val="6DD35C96"/>
    <w:rsid w:val="6E5E30D2"/>
    <w:rsid w:val="7BEC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917</Words>
  <Characters>1018</Characters>
  <Lines>0</Lines>
  <Paragraphs>0</Paragraphs>
  <TotalTime>1</TotalTime>
  <ScaleCrop>false</ScaleCrop>
  <LinksUpToDate>false</LinksUpToDate>
  <CharactersWithSpaces>1034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2026-01-28T17:10:25Z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