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0DC9C1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21469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9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江西通信产业服务有限公司</w:t>
      </w:r>
      <w:bookmarkEnd w:id="0"/>
    </w:p>
    <w:p w14:paraId="3E909CD5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eastAsia"/>
          <w:lang w:val="en-US" w:eastAsia="zh-CN"/>
        </w:rPr>
      </w:pPr>
      <w:bookmarkStart w:id="1" w:name="_Toc11882"/>
      <w:r>
        <w:rPr>
          <w:rFonts w:hint="eastAsia"/>
          <w:lang w:val="en-US" w:eastAsia="zh-CN"/>
        </w:rPr>
        <w:t>翔云系统运维服务项目-实施方案</w:t>
      </w:r>
      <w:bookmarkEnd w:id="1"/>
    </w:p>
    <w:p w14:paraId="16F33626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JXTX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2B5D43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98489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数智运营部</w:t>
            </w:r>
          </w:p>
        </w:tc>
        <w:tc>
          <w:tcPr>
            <w:tcW w:w="2708" w:type="dxa"/>
          </w:tcPr>
          <w:p w14:paraId="29A370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89850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DC3BA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0B4A2C2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35774A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BB814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lang w:val="en-US" w:eastAsia="zh-CN"/>
              </w:rPr>
              <w:t>涂志云</w:t>
            </w:r>
          </w:p>
        </w:tc>
        <w:tc>
          <w:tcPr>
            <w:tcW w:w="2708" w:type="dxa"/>
          </w:tcPr>
          <w:p w14:paraId="60D3B9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189FCE51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53B4875D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71A1BD6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7C9671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4F1E79E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35C35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06242E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4882F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27849F4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7D5B11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5B88D8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30D7C4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4AD8FD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255333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徐超超</w:t>
            </w:r>
          </w:p>
        </w:tc>
        <w:tc>
          <w:tcPr>
            <w:tcW w:w="1606" w:type="dxa"/>
          </w:tcPr>
          <w:p w14:paraId="4787C13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</w:rPr>
              <w:t>何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峻</w:t>
            </w:r>
          </w:p>
        </w:tc>
        <w:tc>
          <w:tcPr>
            <w:tcW w:w="915" w:type="dxa"/>
          </w:tcPr>
          <w:p w14:paraId="07A425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涂志云</w:t>
            </w:r>
          </w:p>
        </w:tc>
      </w:tr>
      <w:tr w14:paraId="48C0911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0303177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4CAB74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30B25A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1618306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4E9592F5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438C597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76BC8D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0DD792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6CB5E95F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346FEB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54FD34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ADDC631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7C6709BA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17DCCC3E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6D152CE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F27F4A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661AD4A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D0B5AF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1EAE7BC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38958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98F5BF7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0D916966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7EC7C8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_Toc21469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江西通信产业服务有限公司</w:t>
          </w:r>
          <w:r>
            <w:tab/>
          </w:r>
          <w:r>
            <w:fldChar w:fldCharType="begin"/>
          </w:r>
          <w:r>
            <w:instrText xml:space="preserve"> PAGEREF _Toc21469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4EDE0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_Toc11882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翔云系统运维服务项目-实施方案</w:t>
          </w:r>
          <w:r>
            <w:tab/>
          </w:r>
          <w:r>
            <w:fldChar w:fldCharType="begin"/>
          </w:r>
          <w:r>
            <w:instrText xml:space="preserve"> PAGEREF _Toc11882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CE0126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_Toc15528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 项目总览与目标</w:t>
          </w:r>
          <w:r>
            <w:tab/>
          </w:r>
          <w:r>
            <w:fldChar w:fldCharType="begin"/>
          </w:r>
          <w:r>
            <w:instrText xml:space="preserve"> PAGEREF _Toc15528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67B70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1.1. 项目背景</w:t>
          </w:r>
          <w:r>
            <w:tab/>
          </w:r>
          <w:r>
            <w:fldChar w:fldCharType="begin"/>
          </w:r>
          <w:r>
            <w:instrText xml:space="preserve"> PAGEREF _Toc1777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708DA0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1.2. 核心目标（与合同1.4条对齐）</w:t>
          </w:r>
          <w:r>
            <w:tab/>
          </w:r>
          <w:r>
            <w:fldChar w:fldCharType="begin"/>
          </w:r>
          <w:r>
            <w:instrText xml:space="preserve"> PAGEREF _Toc7419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00E5A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_Toc16483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1.3. 实施范围</w:t>
          </w:r>
          <w:r>
            <w:tab/>
          </w:r>
          <w:r>
            <w:fldChar w:fldCharType="begin"/>
          </w:r>
          <w:r>
            <w:instrText xml:space="preserve"> PAGEREF _Toc16483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6388F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_Toc6409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2. 项目组织与职责分工</w:t>
          </w:r>
          <w:r>
            <w:tab/>
          </w:r>
          <w:r>
            <w:fldChar w:fldCharType="begin"/>
          </w:r>
          <w:r>
            <w:instrText xml:space="preserve"> PAGEREF _Toc6409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93A5AC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_Toc11309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 服务交付详细流程</w:t>
          </w:r>
          <w:r>
            <w:tab/>
          </w:r>
          <w:r>
            <w:fldChar w:fldCharType="begin"/>
          </w:r>
          <w:r>
            <w:instrText xml:space="preserve"> PAGEREF _Toc11309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13EAC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3.1. 服务请求全生命周期管理（支撑合同第四条）</w:t>
          </w:r>
          <w:r>
            <w:tab/>
          </w:r>
          <w:r>
            <w:fldChar w:fldCharType="begin"/>
          </w:r>
          <w:r>
            <w:instrText xml:space="preserve"> PAGEREF _Toc10858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CC9C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_Toc7140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3.2. 知识管理体系运营流程（支撑合同3.5条及8.2条）</w:t>
          </w:r>
          <w:r>
            <w:tab/>
          </w:r>
          <w:r>
            <w:fldChar w:fldCharType="begin"/>
          </w:r>
          <w:r>
            <w:instrText xml:space="preserve"> PAGEREF _Toc7140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E599B3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 服务级别协议（SLA）与关键绩效指标</w:t>
          </w:r>
          <w:r>
            <w:tab/>
          </w:r>
          <w:r>
            <w:fldChar w:fldCharType="begin"/>
          </w:r>
          <w:r>
            <w:instrText xml:space="preserve"> PAGEREF _Toc2392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5D3A0D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_Toc10241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5. 沟通与报告机制</w:t>
          </w:r>
          <w:r>
            <w:tab/>
          </w:r>
          <w:r>
            <w:fldChar w:fldCharType="begin"/>
          </w:r>
          <w:r>
            <w:instrText xml:space="preserve"> PAGEREF _Toc10241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5F8E9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_Toc20709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6. 交付物与验收计划</w:t>
          </w:r>
          <w:r>
            <w:tab/>
          </w:r>
          <w:r>
            <w:fldChar w:fldCharType="begin"/>
          </w:r>
          <w:r>
            <w:instrText xml:space="preserve"> PAGEREF _Toc20709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972F7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_Toc22991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7. 质量保障与风险控制</w:t>
          </w:r>
          <w:r>
            <w:tab/>
          </w:r>
          <w:r>
            <w:fldChar w:fldCharType="begin"/>
          </w:r>
          <w:r>
            <w:instrText xml:space="preserve"> PAGEREF _Toc22991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839ABE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03359040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477FC525">
      <w:pPr>
        <w:pStyle w:val="28"/>
        <w:bidi w:val="0"/>
        <w:rPr>
          <w:rFonts w:hint="default"/>
          <w:lang w:val="en-US" w:eastAsia="zh-CN"/>
        </w:rPr>
      </w:pPr>
      <w:bookmarkStart w:id="2" w:name="_Toc15528"/>
      <w:r>
        <w:rPr>
          <w:rFonts w:hint="default"/>
          <w:lang w:val="en-US" w:eastAsia="zh-CN"/>
        </w:rPr>
        <w:t>项目总览与目标</w:t>
      </w:r>
      <w:bookmarkEnd w:id="2"/>
    </w:p>
    <w:p w14:paraId="42B9B782">
      <w:pPr>
        <w:pStyle w:val="30"/>
        <w:bidi w:val="0"/>
        <w:rPr>
          <w:rFonts w:hint="default"/>
          <w:lang w:val="en-US" w:eastAsia="zh-CN"/>
        </w:rPr>
      </w:pPr>
      <w:bookmarkStart w:id="3" w:name="_Toc1777"/>
      <w:r>
        <w:rPr>
          <w:rFonts w:hint="default"/>
          <w:lang w:val="en-US" w:eastAsia="zh-CN"/>
        </w:rPr>
        <w:t>项目背景</w:t>
      </w:r>
      <w:bookmarkEnd w:id="3"/>
    </w:p>
    <w:p w14:paraId="061D5F2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依据甲乙双方签订的《翔云系统运维及知识管理体系建设项目合同》（下称“主合同”），乙方（江西通信产业服务有限公司）将为甲方提供为期一年的“翔云”企业业务运营与财务管理系统全面运维支持服务，并同步构建标准化的运维知识管理体系。本方案旨在将合同条款转化为具体、可执行、可度量的行动计划，确保项目目标全面达成。</w:t>
      </w:r>
    </w:p>
    <w:p w14:paraId="42206E51">
      <w:pPr>
        <w:pStyle w:val="30"/>
        <w:bidi w:val="0"/>
        <w:rPr>
          <w:rFonts w:hint="default"/>
          <w:lang w:val="en-US" w:eastAsia="zh-CN"/>
        </w:rPr>
      </w:pPr>
      <w:bookmarkStart w:id="4" w:name="_Toc7419"/>
      <w:r>
        <w:rPr>
          <w:rFonts w:hint="default"/>
          <w:lang w:val="en-US" w:eastAsia="zh-CN"/>
        </w:rPr>
        <w:t>核心目标（与合同1.4条对齐）</w:t>
      </w:r>
      <w:bookmarkEnd w:id="4"/>
    </w:p>
    <w:p w14:paraId="2AC2EA4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运营稳定：保障翔云系统及其核心接口的稳定运行，年度综合服务可用性不低于9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%。</w:t>
      </w:r>
    </w:p>
    <w:p w14:paraId="248C200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支持高效：建立并执行分级响应机制，快速解决系统功能性、数据性及集成性故障。</w:t>
      </w:r>
    </w:p>
    <w:p w14:paraId="2A8F6E89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知识赋能：构建持续更新的项目专属知识库，显著降低重复问题发生率，赋能甲方用户。</w:t>
      </w:r>
    </w:p>
    <w:p w14:paraId="2314CF4B">
      <w:pPr>
        <w:pStyle w:val="30"/>
        <w:bidi w:val="0"/>
        <w:rPr>
          <w:rFonts w:hint="default"/>
          <w:lang w:val="en-US" w:eastAsia="zh-CN"/>
        </w:rPr>
      </w:pPr>
      <w:bookmarkStart w:id="5" w:name="_Toc16483"/>
      <w:r>
        <w:rPr>
          <w:rFonts w:hint="default"/>
          <w:lang w:val="en-US" w:eastAsia="zh-CN"/>
        </w:rPr>
        <w:t>实施范围</w:t>
      </w:r>
      <w:bookmarkEnd w:id="5"/>
    </w:p>
    <w:p w14:paraId="656756C8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严格遵循主合同第三条定义的服务范围，覆盖系统应用支持、业务咨询、数据支持、集成接口支持及知识库建设与维护五大类别。</w:t>
      </w:r>
    </w:p>
    <w:p w14:paraId="0E23D11A">
      <w:pPr>
        <w:pStyle w:val="28"/>
        <w:bidi w:val="0"/>
        <w:rPr>
          <w:rFonts w:hint="default"/>
          <w:lang w:val="en-US" w:eastAsia="zh-CN"/>
        </w:rPr>
      </w:pPr>
      <w:bookmarkStart w:id="6" w:name="_Toc6409"/>
      <w:r>
        <w:rPr>
          <w:rFonts w:hint="default"/>
          <w:lang w:val="en-US" w:eastAsia="zh-CN"/>
        </w:rPr>
        <w:t>项目组织与职责分工</w:t>
      </w:r>
      <w:bookmarkEnd w:id="6"/>
    </w:p>
    <w:p w14:paraId="4081CBE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为履行合同第二条承诺，本项目采用矩阵式组织架构，确保专业协作与资源保障。</w:t>
      </w:r>
    </w:p>
    <w:tbl>
      <w:tblPr>
        <w:tblStyle w:val="20"/>
        <w:tblW w:w="8521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7"/>
        <w:gridCol w:w="2125"/>
        <w:gridCol w:w="3500"/>
        <w:gridCol w:w="1569"/>
      </w:tblGrid>
      <w:tr w14:paraId="5BFA1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D5E62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角色/团队</w:t>
            </w:r>
          </w:p>
        </w:tc>
        <w:tc>
          <w:tcPr>
            <w:tcW w:w="2125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7345F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所属部门（合同依据）</w:t>
            </w:r>
          </w:p>
        </w:tc>
        <w:tc>
          <w:tcPr>
            <w:tcW w:w="35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64E18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项目内核心职责</w:t>
            </w:r>
          </w:p>
        </w:tc>
        <w:tc>
          <w:tcPr>
            <w:tcW w:w="156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BDA8B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对接甲方接口</w:t>
            </w:r>
          </w:p>
        </w:tc>
      </w:tr>
      <w:tr w14:paraId="6FF03A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3F27E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项目经理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254D23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数智运营部（合同2.1）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80DE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项目总负责；整体交付管理、资源协调、SLA达成监控、定期汇报。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C2B8329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甲方项目负责人</w:t>
            </w:r>
          </w:p>
        </w:tc>
      </w:tr>
      <w:tr w14:paraId="68461C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0EBD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服务台团队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44855B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数智运营部（合同2.2）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96ABAD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统一受理、记录、初步诊断、分级派发所有服务请求；一线咨询解答。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869C166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甲方终端用户/IT接口人</w:t>
            </w:r>
          </w:p>
        </w:tc>
      </w:tr>
      <w:tr w14:paraId="7BDE0D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896B73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研发支撑组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A299C0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研究总院（合同2.3）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1B6A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处理需代码级介入的复杂缺陷、性能瓶颈、接口异常；系统变更评估。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0360247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甲方技术接口人</w:t>
            </w:r>
          </w:p>
        </w:tc>
      </w:tr>
      <w:tr w14:paraId="02C0BA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B71C8C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服务知识管理组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095952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数智运营部（合同2.3）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2D5A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知识萃取、结构化编写、知识库维护更新、推动知识复用。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BDF9F6A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甲方业务专家/知识库管理员</w:t>
            </w:r>
          </w:p>
        </w:tc>
      </w:tr>
      <w:tr w14:paraId="0DB39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7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3D581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质量与应急组</w:t>
            </w:r>
          </w:p>
        </w:tc>
        <w:tc>
          <w:tcPr>
            <w:tcW w:w="2125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0A825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质量管理部/应急管理部（合同2.3）</w:t>
            </w:r>
          </w:p>
        </w:tc>
        <w:tc>
          <w:tcPr>
            <w:tcW w:w="35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CB0E18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监督服务质量、审计SLA；处理重大/紧急事件、主导服务连续性演练。</w:t>
            </w:r>
          </w:p>
        </w:tc>
        <w:tc>
          <w:tcPr>
            <w:tcW w:w="156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480B97F">
            <w:pPr>
              <w:keepNext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甲方项目负责人</w:t>
            </w:r>
          </w:p>
        </w:tc>
      </w:tr>
    </w:tbl>
    <w:p w14:paraId="71B95D4C">
      <w:pPr>
        <w:pStyle w:val="28"/>
        <w:bidi w:val="0"/>
        <w:rPr>
          <w:rFonts w:hint="default"/>
          <w:lang w:val="en-US" w:eastAsia="zh-CN"/>
        </w:rPr>
      </w:pPr>
      <w:bookmarkStart w:id="7" w:name="_Toc11309"/>
      <w:r>
        <w:rPr>
          <w:rFonts w:hint="default"/>
          <w:lang w:val="en-US" w:eastAsia="zh-CN"/>
        </w:rPr>
        <w:t>服务交付详细流程</w:t>
      </w:r>
      <w:bookmarkEnd w:id="7"/>
    </w:p>
    <w:p w14:paraId="5BDD3F33">
      <w:pPr>
        <w:pStyle w:val="30"/>
        <w:bidi w:val="0"/>
        <w:rPr>
          <w:rFonts w:hint="default"/>
          <w:lang w:val="en-US" w:eastAsia="zh-CN"/>
        </w:rPr>
      </w:pPr>
      <w:bookmarkStart w:id="8" w:name="_Toc10858"/>
      <w:r>
        <w:rPr>
          <w:rFonts w:hint="default"/>
          <w:lang w:val="en-US" w:eastAsia="zh-CN"/>
        </w:rPr>
        <w:t>服务请求全生命周期管理（支撑合同第四条）</w:t>
      </w:r>
      <w:bookmarkEnd w:id="8"/>
    </w:p>
    <w:p w14:paraId="1530AEB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接入：请求通过合同约定的7x24小时热线或在线服务台统一接入。</w:t>
      </w:r>
    </w:p>
    <w:p w14:paraId="751991C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记录与分级：服务台依据预定义规则（基于合同4.3条）进行记录并初步定级（P1-P4）。</w:t>
      </w:r>
    </w:p>
    <w:p w14:paraId="4E3620B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派单与处理：根据问题类型，系统自动或人工派单至相应团队（服务台/研发支撑组）。</w:t>
      </w:r>
    </w:p>
    <w:p w14:paraId="5F4DE73C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升级与协同：超时或复杂问题自动升级至项目经理，协调跨组资源解决。</w:t>
      </w:r>
    </w:p>
    <w:p w14:paraId="4F1AA03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解决与关闭：解决方案经甲方用户确认后关闭，并关联至知识库。P1-P3级事件自动触发满意度回访。</w:t>
      </w:r>
    </w:p>
    <w:p w14:paraId="3F6BF100">
      <w:pPr>
        <w:pStyle w:val="30"/>
        <w:bidi w:val="0"/>
        <w:rPr>
          <w:rFonts w:hint="default"/>
          <w:lang w:val="en-US" w:eastAsia="zh-CN"/>
        </w:rPr>
      </w:pPr>
      <w:bookmarkStart w:id="9" w:name="_Toc7140"/>
      <w:r>
        <w:rPr>
          <w:rFonts w:hint="default"/>
          <w:lang w:val="en-US" w:eastAsia="zh-CN"/>
        </w:rPr>
        <w:t>知识管理体系运营流程（支撑合同3.5条及8.2条）</w:t>
      </w:r>
      <w:bookmarkEnd w:id="9"/>
    </w:p>
    <w:p w14:paraId="6BDD4D4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生产（从工单中来）：所有解决的技术问题，须由解决者或知识管理组提炼为标准条目，按“现象-原因-步骤”模板入库。</w:t>
      </w:r>
    </w:p>
    <w:p w14:paraId="1C93941B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消费（到工单中去）：服务台处理新请求时，强制优先检索知识库，引用有效条目。</w:t>
      </w:r>
    </w:p>
    <w:p w14:paraId="45C2E31D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迭代：知识管理组按季度对知识条目进行有效性审查、更新和归档，形成《知识库更新包》（合同交付物）。</w:t>
      </w:r>
    </w:p>
    <w:p w14:paraId="3044298D">
      <w:pPr>
        <w:pStyle w:val="28"/>
        <w:bidi w:val="0"/>
        <w:rPr>
          <w:rFonts w:hint="default"/>
          <w:lang w:val="en-US" w:eastAsia="zh-CN"/>
        </w:rPr>
      </w:pPr>
      <w:bookmarkStart w:id="10" w:name="_Toc2392"/>
      <w:r>
        <w:rPr>
          <w:rFonts w:hint="default"/>
          <w:lang w:val="en-US" w:eastAsia="zh-CN"/>
        </w:rPr>
        <w:t>服务级别协议（SLA）与关键绩效指标</w:t>
      </w:r>
      <w:bookmarkEnd w:id="10"/>
    </w:p>
    <w:p w14:paraId="5466D001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本方案执行将严格遵循合同附件《服务水平协议（SLA）》，核心KPI如下：</w:t>
      </w:r>
    </w:p>
    <w:tbl>
      <w:tblPr>
        <w:tblStyle w:val="20"/>
        <w:tblW w:w="8767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95"/>
        <w:gridCol w:w="2004"/>
        <w:gridCol w:w="3344"/>
        <w:gridCol w:w="1924"/>
      </w:tblGrid>
      <w:tr w14:paraId="739173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49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C093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指标</w:t>
            </w:r>
          </w:p>
        </w:tc>
        <w:tc>
          <w:tcPr>
            <w:tcW w:w="200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694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合同标准（4.3条）</w:t>
            </w:r>
          </w:p>
        </w:tc>
        <w:tc>
          <w:tcPr>
            <w:tcW w:w="334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D64A0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测量方法</w:t>
            </w:r>
          </w:p>
        </w:tc>
        <w:tc>
          <w:tcPr>
            <w:tcW w:w="19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90E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报告频率</w:t>
            </w:r>
          </w:p>
        </w:tc>
      </w:tr>
      <w:tr w14:paraId="1557C8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D2ED3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P1事件响应时间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EF341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≤15分钟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5A761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从接单到首次联系用户的时间差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14BDF1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实时监控，月报呈现</w:t>
            </w:r>
          </w:p>
        </w:tc>
      </w:tr>
      <w:tr w14:paraId="1CE108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4B735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P1事件恢复时间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F8D9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≤2小时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5AA1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从接单到提供应急方案/恢复服务的时间差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4DC534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事件报告，月报汇总</w:t>
            </w:r>
          </w:p>
        </w:tc>
      </w:tr>
      <w:tr w14:paraId="6D33C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B3E2E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服务请求解决率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B08ED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P1/P2: 100%；P3: ≥95%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D6DC0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（解决工单数/总工单数）*100%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DDBE3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周报、月报</w:t>
            </w:r>
          </w:p>
        </w:tc>
      </w:tr>
      <w:tr w14:paraId="265841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52DB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知识库季度更新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94F48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按合同8.2条交付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38692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交付符合标准的《知识库更新包》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E7FA4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季度交付物</w:t>
            </w:r>
          </w:p>
        </w:tc>
      </w:tr>
      <w:tr w14:paraId="579174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49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C64EB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用户满意度</w:t>
            </w:r>
          </w:p>
        </w:tc>
        <w:tc>
          <w:tcPr>
            <w:tcW w:w="200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3E74F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依据合同8.1条</w:t>
            </w:r>
          </w:p>
        </w:tc>
        <w:tc>
          <w:tcPr>
            <w:tcW w:w="334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3C1D7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基于工单关闭后的回访评分（1-5分）</w:t>
            </w:r>
          </w:p>
        </w:tc>
        <w:tc>
          <w:tcPr>
            <w:tcW w:w="1924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D530AE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月报（平均分）</w:t>
            </w:r>
          </w:p>
        </w:tc>
      </w:tr>
    </w:tbl>
    <w:p w14:paraId="5C56B956">
      <w:pPr>
        <w:pStyle w:val="28"/>
        <w:bidi w:val="0"/>
        <w:rPr>
          <w:rFonts w:hint="default"/>
          <w:lang w:val="en-US" w:eastAsia="zh-CN"/>
        </w:rPr>
      </w:pPr>
      <w:bookmarkStart w:id="11" w:name="_Toc10241"/>
      <w:r>
        <w:rPr>
          <w:rFonts w:hint="default"/>
          <w:lang w:val="en-US" w:eastAsia="zh-CN"/>
        </w:rPr>
        <w:t>沟通与报告机制</w:t>
      </w:r>
      <w:bookmarkEnd w:id="11"/>
    </w:p>
    <w:p w14:paraId="1DD8BD30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为履行合同第七条（乙方权利义务），建立以下沟通机制：</w:t>
      </w:r>
    </w:p>
    <w:tbl>
      <w:tblPr>
        <w:tblStyle w:val="20"/>
        <w:tblW w:w="8522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8"/>
        <w:gridCol w:w="1106"/>
        <w:gridCol w:w="3129"/>
        <w:gridCol w:w="1718"/>
        <w:gridCol w:w="1241"/>
      </w:tblGrid>
      <w:tr w14:paraId="453ED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jc w:val="center"/>
        </w:trPr>
        <w:tc>
          <w:tcPr>
            <w:tcW w:w="1328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CEF97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报告/会议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7D463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频率</w:t>
            </w:r>
          </w:p>
        </w:tc>
        <w:tc>
          <w:tcPr>
            <w:tcW w:w="312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ADDB2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主要内容</w:t>
            </w:r>
          </w:p>
        </w:tc>
        <w:tc>
          <w:tcPr>
            <w:tcW w:w="171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E0A84E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参与方</w:t>
            </w:r>
          </w:p>
        </w:tc>
        <w:tc>
          <w:tcPr>
            <w:tcW w:w="124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0B20B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b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目的</w:t>
            </w:r>
          </w:p>
        </w:tc>
      </w:tr>
      <w:tr w14:paraId="223A7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ADAC8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服务日报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8D330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每个工作日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AB7A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前一日重大事件、待处理P1/P2清单、系统健康状态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57932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邮件发送甲方接口人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1304A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透明化运营状态</w:t>
            </w:r>
          </w:p>
        </w:tc>
      </w:tr>
      <w:tr w14:paraId="01730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EDC3F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服务月报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DE0A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每月5日前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898470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上月SLA达成情况、工单分析、知识库更新、改进计划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567E5D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项目经理提交，双方评审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FF9141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定期评估，持续改进</w:t>
            </w:r>
          </w:p>
        </w:tc>
      </w:tr>
      <w:tr w14:paraId="63919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AA5764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季度联席会议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8046A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每季度一次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ED275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复盘季度服务、评审知识库交付物、规划下阶段重点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31815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双方项目负责人及核心成员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945E7F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战略对齐，深化合作</w:t>
            </w:r>
          </w:p>
        </w:tc>
      </w:tr>
      <w:tr w14:paraId="60E8B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1328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09C937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专项报告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170AEA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事件触发</w:t>
            </w:r>
          </w:p>
        </w:tc>
        <w:tc>
          <w:tcPr>
            <w:tcW w:w="3129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0FA08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重大事件（P1/P2）的根因分析报告、服务连续性演练报告</w:t>
            </w:r>
          </w:p>
        </w:tc>
        <w:tc>
          <w:tcPr>
            <w:tcW w:w="171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D56C4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事件相关方</w:t>
            </w:r>
          </w:p>
        </w:tc>
        <w:tc>
          <w:tcPr>
            <w:tcW w:w="1241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EED9669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复盘学习，完善预案</w:t>
            </w:r>
          </w:p>
        </w:tc>
      </w:tr>
    </w:tbl>
    <w:p w14:paraId="4CF5B208">
      <w:pPr>
        <w:pStyle w:val="28"/>
        <w:bidi w:val="0"/>
        <w:rPr>
          <w:rFonts w:hint="default"/>
          <w:lang w:val="en-US" w:eastAsia="zh-CN"/>
        </w:rPr>
      </w:pPr>
      <w:bookmarkStart w:id="12" w:name="_Toc20709"/>
      <w:r>
        <w:rPr>
          <w:rFonts w:hint="default"/>
          <w:lang w:val="en-US" w:eastAsia="zh-CN"/>
        </w:rPr>
        <w:t>交付物与验收计划</w:t>
      </w:r>
      <w:bookmarkEnd w:id="12"/>
    </w:p>
    <w:p w14:paraId="5057A1B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根据合同第八条，明确以下关键交付物及验收流程：</w:t>
      </w:r>
    </w:p>
    <w:tbl>
      <w:tblPr>
        <w:tblStyle w:val="2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84"/>
        <w:gridCol w:w="1158"/>
        <w:gridCol w:w="3382"/>
        <w:gridCol w:w="1874"/>
      </w:tblGrid>
      <w:tr w14:paraId="724623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088227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交付物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218C7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交付频率/时间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BF48C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验收标准（依据合同）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DBABAB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验收方</w:t>
            </w:r>
          </w:p>
        </w:tc>
      </w:tr>
      <w:tr w14:paraId="7A33B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D20A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《知识库更新包》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E733D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每季度末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0BFA2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内容符合业务实际，结构符合标准模板（合同3.5, 8.2条）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49F9ED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甲方（15个工作日内）</w:t>
            </w:r>
          </w:p>
        </w:tc>
      </w:tr>
      <w:tr w14:paraId="437C5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88F8F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《服务月报》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778E6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每月5日前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45C0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内容完整，数据真实反映上月服务情况（合同7.2条）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A47BCEA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甲方（阅知确认）</w:t>
            </w:r>
          </w:p>
        </w:tc>
      </w:tr>
      <w:tr w14:paraId="0F3AC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A2C65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《项目总结报告》及完整知识库资产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42A15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服务期满后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6DB249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报告全面总结项目成果，知识库资产完整可用（合同8.3条）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31D51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甲方（30个工作日内组织终验）</w:t>
            </w:r>
          </w:p>
        </w:tc>
      </w:tr>
      <w:tr w14:paraId="0A9D1E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8211C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日常服务（单次请求）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E171B1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实时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E9064D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问题解决，用户满意（合同8.1条）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B350D9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 w:bidi="ar"/>
              </w:rPr>
              <w:t>甲方终端用户</w:t>
            </w:r>
          </w:p>
        </w:tc>
      </w:tr>
    </w:tbl>
    <w:p w14:paraId="0012E695">
      <w:pPr>
        <w:pStyle w:val="28"/>
        <w:bidi w:val="0"/>
        <w:rPr>
          <w:rFonts w:hint="default"/>
          <w:lang w:val="en-US" w:eastAsia="zh-CN"/>
        </w:rPr>
      </w:pPr>
      <w:bookmarkStart w:id="13" w:name="_Toc22991"/>
      <w:r>
        <w:rPr>
          <w:rFonts w:hint="default"/>
          <w:lang w:val="en-US" w:eastAsia="zh-CN"/>
        </w:rPr>
        <w:t>质量保障与风险控制</w:t>
      </w:r>
      <w:bookmarkEnd w:id="13"/>
    </w:p>
    <w:p w14:paraId="3B86B5CE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质量保障：由质量管理部通过定期SLA审计、流程合规性检查、人员技能认证（基于知识库）保障服务质量。</w:t>
      </w:r>
    </w:p>
    <w:p w14:paraId="0EC0091A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风险控制：</w:t>
      </w:r>
      <w:bookmarkStart w:id="14" w:name="_GoBack"/>
      <w:bookmarkEnd w:id="14"/>
    </w:p>
    <w:p w14:paraId="203CD187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人员风险：严格执行“主备岗”制度，关键岗位人员备份率达到100%。</w:t>
      </w:r>
    </w:p>
    <w:p w14:paraId="61B27E82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技术风险：对于复杂变更或修复，严格执行在测试环境验证、灰度发布的流程。</w:t>
      </w:r>
    </w:p>
    <w:p w14:paraId="58E5E403">
      <w:pPr>
        <w:pStyle w:val="29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连续性风险：按计划执行服务连续性演练，确保应急预案有效。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ABE1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江西通信产业服务有限公司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1AF6532"/>
    <w:rsid w:val="0A762E91"/>
    <w:rsid w:val="0C5B233E"/>
    <w:rsid w:val="141352AC"/>
    <w:rsid w:val="14EF207A"/>
    <w:rsid w:val="15D32F45"/>
    <w:rsid w:val="171B2DF6"/>
    <w:rsid w:val="1AE96D67"/>
    <w:rsid w:val="1CAB5308"/>
    <w:rsid w:val="1F2269A5"/>
    <w:rsid w:val="21091F11"/>
    <w:rsid w:val="239D6752"/>
    <w:rsid w:val="272F1FA5"/>
    <w:rsid w:val="28C50E13"/>
    <w:rsid w:val="29491A44"/>
    <w:rsid w:val="2A41096D"/>
    <w:rsid w:val="2B7263DC"/>
    <w:rsid w:val="2C107FEF"/>
    <w:rsid w:val="2EE7693B"/>
    <w:rsid w:val="2EFE3E42"/>
    <w:rsid w:val="2F106B60"/>
    <w:rsid w:val="2FF63FA8"/>
    <w:rsid w:val="311F5D69"/>
    <w:rsid w:val="35781C6D"/>
    <w:rsid w:val="35C12B12"/>
    <w:rsid w:val="36FD7444"/>
    <w:rsid w:val="379523B5"/>
    <w:rsid w:val="3A59585F"/>
    <w:rsid w:val="3B2714BA"/>
    <w:rsid w:val="3D600F91"/>
    <w:rsid w:val="40CF7B8F"/>
    <w:rsid w:val="41BF6718"/>
    <w:rsid w:val="425132C0"/>
    <w:rsid w:val="42D257AE"/>
    <w:rsid w:val="458A2D71"/>
    <w:rsid w:val="467A2DE5"/>
    <w:rsid w:val="46D149CF"/>
    <w:rsid w:val="478A52AA"/>
    <w:rsid w:val="4C583431"/>
    <w:rsid w:val="4F8627FB"/>
    <w:rsid w:val="533F4DCC"/>
    <w:rsid w:val="53446E39"/>
    <w:rsid w:val="56313A23"/>
    <w:rsid w:val="56D06A51"/>
    <w:rsid w:val="57DF0C57"/>
    <w:rsid w:val="58226E39"/>
    <w:rsid w:val="585D7471"/>
    <w:rsid w:val="5BC85F49"/>
    <w:rsid w:val="617701F5"/>
    <w:rsid w:val="65C04540"/>
    <w:rsid w:val="65C65623"/>
    <w:rsid w:val="687A5425"/>
    <w:rsid w:val="693370F8"/>
    <w:rsid w:val="6A1862EE"/>
    <w:rsid w:val="71B21BE2"/>
    <w:rsid w:val="71E676C1"/>
    <w:rsid w:val="75451907"/>
    <w:rsid w:val="79872B48"/>
    <w:rsid w:val="7ABD2CC5"/>
    <w:rsid w:val="7BBC11CF"/>
    <w:rsid w:val="7BC02341"/>
    <w:rsid w:val="7D5A0C9F"/>
    <w:rsid w:val="7DCD3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1665</Words>
  <Characters>1844</Characters>
  <Lines>0</Lines>
  <Paragraphs>0</Paragraphs>
  <TotalTime>0</TotalTime>
  <ScaleCrop>false</ScaleCrop>
  <LinksUpToDate>false</LinksUpToDate>
  <CharactersWithSpaces>1892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2026-01-28T13:44:20Z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2052-12.1.0.24657</vt:lpwstr>
  </property>
  <property fmtid="{D5CDD505-2E9C-101B-9397-08002B2CF9AE}" pid="4" name="KSOTemplateDocerSaveRecord">
    <vt:lpwstr>eyJoZGlkIjoiZWI4NmUzMGY2ODA3MDc4ZTFlMjZjZTAyMjM0NmVmODgiLCJ1c2VySWQiOiIxMDc1MzgyOSJ9</vt:lpwstr>
  </property>
</Properties>
</file>