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DC9C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72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E909CD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6025"/>
      <w:r>
        <w:rPr>
          <w:rFonts w:hint="eastAsia"/>
          <w:lang w:val="en-US" w:eastAsia="zh-CN"/>
        </w:rPr>
        <w:t>翔云系统运维服务项目-总结报告</w:t>
      </w:r>
      <w:bookmarkEnd w:id="1"/>
    </w:p>
    <w:p w14:paraId="16F336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B5D4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98489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29A370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48985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DC3BA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B4A2C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35774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BB814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60D3B9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189FCE5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3B4875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1A1BD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C9671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F1E79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5C350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6242E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882F1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7849F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7D5B1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B88D8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30D7C4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AD8FD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55333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4787C1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07A425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48C091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30317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4CAB7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30B25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61830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E9592F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438C5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76BC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0DD79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CB5E9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346FE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54FD3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ADDC6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C6709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7DCCC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D152C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F27F4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61AD4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D0B5A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EAE7BC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53895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98F5B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D91696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7447B2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_Toc672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674B2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翔云系统运维服务项目-总结报告</w:t>
          </w:r>
          <w:r>
            <w:tab/>
          </w:r>
          <w:r>
            <w:fldChar w:fldCharType="begin"/>
          </w:r>
          <w:r>
            <w:instrText xml:space="preserve"> PAGEREF _Toc16025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21DF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项目概况与目标达成情况</w:t>
          </w:r>
          <w:r>
            <w:tab/>
          </w:r>
          <w:r>
            <w:fldChar w:fldCharType="begin"/>
          </w:r>
          <w:r>
            <w:instrText xml:space="preserve"> PAGEREF _Toc25187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C520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实施体系与组织保障</w:t>
          </w:r>
          <w:r>
            <w:tab/>
          </w:r>
          <w:r>
            <w:fldChar w:fldCharType="begin"/>
          </w:r>
          <w:r>
            <w:instrText xml:space="preserve"> PAGEREF _Toc20431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7404F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服务流程与SLA执行情况</w:t>
          </w:r>
          <w:r>
            <w:tab/>
          </w:r>
          <w:r>
            <w:fldChar w:fldCharType="begin"/>
          </w:r>
          <w:r>
            <w:instrText xml:space="preserve"> PAGEREF _Toc7517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A6606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知识库建设与运营成效</w:t>
          </w:r>
          <w:r>
            <w:tab/>
          </w:r>
          <w:r>
            <w:fldChar w:fldCharType="begin"/>
          </w:r>
          <w:r>
            <w:instrText xml:space="preserve"> PAGEREF _Toc21168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4823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五、风险识别与改进措施</w:t>
          </w:r>
          <w:r>
            <w:tab/>
          </w:r>
          <w:r>
            <w:fldChar w:fldCharType="begin"/>
          </w:r>
          <w:r>
            <w:instrText xml:space="preserve"> PAGEREF _Toc31347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B7815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沟通与报告机制落实情况</w:t>
          </w:r>
          <w:r>
            <w:tab/>
          </w:r>
          <w:r>
            <w:fldChar w:fldCharType="begin"/>
          </w:r>
          <w:r>
            <w:instrText xml:space="preserve"> PAGEREF _Toc1771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4DD9E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下阶段重点工作预告</w:t>
          </w:r>
          <w:r>
            <w:tab/>
          </w:r>
          <w:r>
            <w:fldChar w:fldCharType="begin"/>
          </w:r>
          <w:r>
            <w:instrText xml:space="preserve"> PAGEREF _Toc1387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80C23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_Toc20639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总结</w:t>
          </w:r>
          <w:r>
            <w:tab/>
          </w:r>
          <w:r>
            <w:fldChar w:fldCharType="begin"/>
          </w:r>
          <w:r>
            <w:instrText xml:space="preserve"> PAGEREF _Toc20639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839AB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33590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605F1C5">
      <w:pPr>
        <w:pStyle w:val="28"/>
        <w:bidi w:val="0"/>
        <w:rPr>
          <w:rFonts w:hint="default"/>
          <w:lang w:val="en-US" w:eastAsia="zh-CN"/>
        </w:rPr>
      </w:pPr>
      <w:bookmarkStart w:id="2" w:name="_Toc25187"/>
      <w:r>
        <w:rPr>
          <w:rFonts w:hint="default"/>
          <w:lang w:val="en-US" w:eastAsia="zh-CN"/>
        </w:rPr>
        <w:t>项目概况与目标达成情况</w:t>
      </w:r>
      <w:bookmarkEnd w:id="2"/>
    </w:p>
    <w:p w14:paraId="5A32CB6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为“翔云系统运维服务项目”，由江西通信产业服务有限公司（乙方）承担为期一年的全面运维支持与知识管理体系建设任务。依据合同要求，项目围绕系统稳定运行、高效支持响应、知识体系构建三大核心目标展开，目前已建立完整的服务交付与管理体系，并完成首月运维巡检，整体运行平稳，目标达成路径清晰。</w:t>
      </w:r>
    </w:p>
    <w:p w14:paraId="47E608CB">
      <w:pPr>
        <w:pStyle w:val="28"/>
        <w:bidi w:val="0"/>
        <w:rPr>
          <w:rFonts w:hint="default"/>
          <w:lang w:val="en-US" w:eastAsia="zh-CN"/>
        </w:rPr>
      </w:pPr>
      <w:bookmarkStart w:id="3" w:name="_Toc20431"/>
      <w:r>
        <w:rPr>
          <w:rFonts w:hint="default"/>
          <w:lang w:val="en-US" w:eastAsia="zh-CN"/>
        </w:rPr>
        <w:t>实施体系与组织保障</w:t>
      </w:r>
      <w:bookmarkEnd w:id="3"/>
    </w:p>
    <w:p w14:paraId="364F2C7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采用矩阵式组织架构，设立项目经理、服务台团队、研发支撑组、服务知识管理组、质量与应急组等角色，明确职责分工与对接机制，确保资源协同与服务流程闭环。各项职责均与合同条款严格对齐，具备明确的合同依据。</w:t>
      </w:r>
    </w:p>
    <w:p w14:paraId="0C5F5455">
      <w:pPr>
        <w:pStyle w:val="28"/>
        <w:bidi w:val="0"/>
        <w:rPr>
          <w:rFonts w:hint="default"/>
          <w:lang w:val="en-US" w:eastAsia="zh-CN"/>
        </w:rPr>
      </w:pPr>
      <w:bookmarkStart w:id="4" w:name="_Toc7517"/>
      <w:r>
        <w:rPr>
          <w:rFonts w:hint="default"/>
          <w:lang w:val="en-US" w:eastAsia="zh-CN"/>
        </w:rPr>
        <w:t>服务流程与SLA执行情况</w:t>
      </w:r>
      <w:bookmarkEnd w:id="4"/>
    </w:p>
    <w:p w14:paraId="776508C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建立“服务请求全生命周期管理”流程，涵盖接入、分级、派单、解决、关闭等环节，并配套知识管理体系，实现“从工单中来、到工单中去”的闭环运作。首月巡检显示，基础设施、应用性能、业务连续性等核心指标均处于正常状态，SLA各项指标（如响应时间、解决率等）均符合合同约定。</w:t>
      </w:r>
    </w:p>
    <w:p w14:paraId="6F25A136">
      <w:pPr>
        <w:pStyle w:val="28"/>
        <w:bidi w:val="0"/>
        <w:rPr>
          <w:rFonts w:hint="default"/>
          <w:lang w:val="en-US" w:eastAsia="zh-CN"/>
        </w:rPr>
      </w:pPr>
      <w:bookmarkStart w:id="5" w:name="_Toc21168"/>
      <w:r>
        <w:rPr>
          <w:rFonts w:hint="default"/>
          <w:lang w:val="en-US" w:eastAsia="zh-CN"/>
        </w:rPr>
        <w:t>知识库建设与运营成效</w:t>
      </w:r>
      <w:bookmarkEnd w:id="5"/>
    </w:p>
    <w:p w14:paraId="5F9A3CA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知识库已进入常态化运营阶段，知识关联解决率达68%，用户检索次数环比增长12%，说明知识库在提升一线支持效率方面已初显成效。每季度将交付《知识库更新包》，确保知识持续迭代。</w:t>
      </w:r>
    </w:p>
    <w:p w14:paraId="4F2BEA3C">
      <w:pPr>
        <w:pStyle w:val="28"/>
        <w:bidi w:val="0"/>
        <w:rPr>
          <w:rFonts w:hint="default"/>
          <w:lang w:val="en-US" w:eastAsia="zh-CN"/>
        </w:rPr>
      </w:pPr>
      <w:bookmarkStart w:id="6" w:name="_Toc31347"/>
      <w:bookmarkStart w:id="10" w:name="_GoBack"/>
      <w:bookmarkEnd w:id="10"/>
      <w:r>
        <w:rPr>
          <w:rFonts w:hint="default"/>
          <w:lang w:val="en-US" w:eastAsia="zh-CN"/>
        </w:rPr>
        <w:t>风险识别与改进措施</w:t>
      </w:r>
      <w:bookmarkEnd w:id="6"/>
    </w:p>
    <w:p w14:paraId="6FD53E3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本月巡检识别出三项潜在风险：</w:t>
      </w:r>
    </w:p>
    <w:p w14:paraId="60196C6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存储空间增长趋势（低风险）：预计6个月后接近告警阈值，建议启动数据清理与扩容规划。</w:t>
      </w:r>
    </w:p>
    <w:p w14:paraId="3F89CE1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外部接口偶发延迟（中风险）：与四川集采系统接口存在短暂延迟，已建议建立直接沟通机制并优化重试策略。</w:t>
      </w:r>
    </w:p>
    <w:p w14:paraId="3066A32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系统安全补丁待更新（低风险）：计划在12月维护窗口完成更新。</w:t>
      </w:r>
    </w:p>
    <w:p w14:paraId="484FD70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相关责任团队已制定改进计划，预计在2025年12月至2026年Q1逐步落实。</w:t>
      </w:r>
    </w:p>
    <w:p w14:paraId="08438CF7">
      <w:pPr>
        <w:pStyle w:val="28"/>
        <w:bidi w:val="0"/>
        <w:rPr>
          <w:rFonts w:hint="default"/>
          <w:lang w:val="en-US" w:eastAsia="zh-CN"/>
        </w:rPr>
      </w:pPr>
      <w:bookmarkStart w:id="7" w:name="_Toc1771"/>
      <w:r>
        <w:rPr>
          <w:rFonts w:hint="default"/>
          <w:lang w:val="en-US" w:eastAsia="zh-CN"/>
        </w:rPr>
        <w:t>沟通与报告机制落实情况</w:t>
      </w:r>
      <w:bookmarkEnd w:id="7"/>
    </w:p>
    <w:p w14:paraId="0CD43B4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已建立日常、月度、季度三级沟通机制，包括服务日报、服务月报、季度联席会议等，确保信息透明、及时对齐。首月巡检报告已系统呈现健康度、业务模块、安全合规、知识运营等多维度数据，为持续优化提供依据。</w:t>
      </w:r>
    </w:p>
    <w:p w14:paraId="297493A3">
      <w:pPr>
        <w:pStyle w:val="28"/>
        <w:bidi w:val="0"/>
        <w:rPr>
          <w:rFonts w:hint="default"/>
          <w:lang w:val="en-US" w:eastAsia="zh-CN"/>
        </w:rPr>
      </w:pPr>
      <w:bookmarkStart w:id="8" w:name="_Toc1387"/>
      <w:r>
        <w:rPr>
          <w:rFonts w:hint="default"/>
          <w:lang w:val="en-US" w:eastAsia="zh-CN"/>
        </w:rPr>
        <w:t>下阶段重点工作预告</w:t>
      </w:r>
      <w:bookmarkEnd w:id="8"/>
    </w:p>
    <w:p w14:paraId="3C7E5D0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深化“项目预算预占”机制的全链路跟踪分析；</w:t>
      </w:r>
    </w:p>
    <w:p w14:paraId="433049C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开展数据库慢查询优化预案推演；</w:t>
      </w:r>
    </w:p>
    <w:p w14:paraId="181735A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持续监控存储使用趋势，执行清理计划；</w:t>
      </w:r>
    </w:p>
    <w:p w14:paraId="7620C91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按计划完成安全补丁更新与接口优化。</w:t>
      </w:r>
    </w:p>
    <w:p w14:paraId="5D581897">
      <w:pPr>
        <w:pStyle w:val="28"/>
        <w:bidi w:val="0"/>
        <w:rPr>
          <w:rFonts w:hint="default"/>
          <w:lang w:val="en-US" w:eastAsia="zh-CN"/>
        </w:rPr>
      </w:pPr>
      <w:bookmarkStart w:id="9" w:name="_Toc20639"/>
      <w:r>
        <w:rPr>
          <w:rFonts w:hint="default"/>
          <w:lang w:val="en-US" w:eastAsia="zh-CN"/>
        </w:rPr>
        <w:t>总结</w:t>
      </w:r>
      <w:bookmarkEnd w:id="9"/>
    </w:p>
    <w:p w14:paraId="58E5E40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实施方案系统性强、流程清晰、职责明确，巡检机制有效识别运行状态与潜在风险，整体运维服务处于可控、可优化、可持续的状态。下一步将继续严格执行SLA，深化知识运营，持续提升系统稳定性与用户满意度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ABE1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EF5961"/>
    <w:rsid w:val="0A762E91"/>
    <w:rsid w:val="0C5B233E"/>
    <w:rsid w:val="0E0B38F0"/>
    <w:rsid w:val="141352AC"/>
    <w:rsid w:val="14EF207A"/>
    <w:rsid w:val="171B2DF6"/>
    <w:rsid w:val="1BEF1C53"/>
    <w:rsid w:val="1F2269A5"/>
    <w:rsid w:val="21B207FA"/>
    <w:rsid w:val="27A6495D"/>
    <w:rsid w:val="2A41096D"/>
    <w:rsid w:val="2EE7693B"/>
    <w:rsid w:val="2EFE3E42"/>
    <w:rsid w:val="2F106B60"/>
    <w:rsid w:val="2FF63FA8"/>
    <w:rsid w:val="311F5D69"/>
    <w:rsid w:val="35781C6D"/>
    <w:rsid w:val="379523B5"/>
    <w:rsid w:val="3B2714BA"/>
    <w:rsid w:val="3F2301EA"/>
    <w:rsid w:val="40CF7B8F"/>
    <w:rsid w:val="41BF6718"/>
    <w:rsid w:val="425132C0"/>
    <w:rsid w:val="42D257AE"/>
    <w:rsid w:val="432F1853"/>
    <w:rsid w:val="458A2D71"/>
    <w:rsid w:val="466B0DF4"/>
    <w:rsid w:val="46C329DE"/>
    <w:rsid w:val="4CC052CA"/>
    <w:rsid w:val="4E467D98"/>
    <w:rsid w:val="4F8627FB"/>
    <w:rsid w:val="53446E39"/>
    <w:rsid w:val="56313A23"/>
    <w:rsid w:val="57DF0C57"/>
    <w:rsid w:val="585D7471"/>
    <w:rsid w:val="5BC85F49"/>
    <w:rsid w:val="5D902A97"/>
    <w:rsid w:val="616B39EA"/>
    <w:rsid w:val="65C04540"/>
    <w:rsid w:val="68142C42"/>
    <w:rsid w:val="6E697118"/>
    <w:rsid w:val="71E676C1"/>
    <w:rsid w:val="7598514A"/>
    <w:rsid w:val="7ABD2CC5"/>
    <w:rsid w:val="7F4D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1228</Words>
  <Characters>1349</Characters>
  <Lines>0</Lines>
  <Paragraphs>0</Paragraphs>
  <TotalTime>0</TotalTime>
  <ScaleCrop>false</ScaleCrop>
  <LinksUpToDate>false</LinksUpToDate>
  <CharactersWithSpaces>1443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2026-01-28T13:41:52Z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