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A0740">
      <w:pPr>
        <w:keepNext w:val="0"/>
        <w:keepLines w:val="0"/>
        <w:pageBreakBefore w:val="0"/>
        <w:widowControl w:val="0"/>
        <w:wordWrap/>
        <w:overflowPunct/>
        <w:topLinePunct w:val="0"/>
        <w:bidi w:val="0"/>
        <w:spacing w:before="78" w:line="219" w:lineRule="auto"/>
        <w:rPr>
          <w:rFonts w:ascii="宋体" w:hAnsi="宋体" w:eastAsia="宋体" w:cs="宋体"/>
          <w:sz w:val="24"/>
          <w:szCs w:val="24"/>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2</w:t>
      </w:r>
      <w:r>
        <w:rPr>
          <w:rFonts w:ascii="宋体" w:hAnsi="宋体" w:eastAsia="宋体" w:cs="宋体"/>
          <w:b/>
          <w:bCs/>
          <w:spacing w:val="-3"/>
          <w:sz w:val="24"/>
          <w:szCs w:val="24"/>
        </w:rPr>
        <w:t>-01</w:t>
      </w:r>
    </w:p>
    <w:p w14:paraId="1FE85AB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C07F6B0">
      <w:pPr>
        <w:pStyle w:val="24"/>
        <w:keepNext w:val="0"/>
        <w:keepLines w:val="0"/>
        <w:pageBreakBefore w:val="0"/>
        <w:widowControl w:val="0"/>
        <w:wordWrap/>
        <w:overflowPunct/>
        <w:topLinePunct w:val="0"/>
        <w:bidi w:val="0"/>
      </w:pPr>
      <w:bookmarkStart w:id="0" w:name="_Toc3221"/>
      <w:r>
        <w:rPr>
          <w:rFonts w:hint="eastAsia"/>
          <w:lang w:val="en-US" w:eastAsia="zh-CN"/>
        </w:rPr>
        <w:t>青岛瑞源工程集团有限公司</w:t>
      </w:r>
      <w:bookmarkEnd w:id="0"/>
    </w:p>
    <w:p w14:paraId="11CEFDFD">
      <w:pPr>
        <w:pStyle w:val="25"/>
        <w:keepNext w:val="0"/>
        <w:keepLines w:val="0"/>
        <w:pageBreakBefore w:val="0"/>
        <w:widowControl w:val="0"/>
        <w:wordWrap/>
        <w:overflowPunct/>
        <w:topLinePunct w:val="0"/>
        <w:bidi w:val="0"/>
        <w:rPr>
          <w:rFonts w:hint="default"/>
          <w:lang w:val="en-US"/>
        </w:rPr>
      </w:pPr>
      <w:bookmarkStart w:id="1" w:name="_Toc32226"/>
      <w:r>
        <w:rPr>
          <w:rFonts w:hint="eastAsia"/>
          <w:lang w:val="en-US" w:eastAsia="zh-CN"/>
        </w:rPr>
        <w:t>组织架构及部门职责</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0813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5D781A34">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vertAlign w:val="baseline"/>
                <w:lang w:val="en-US" w:eastAsia="zh-CN"/>
              </w:rPr>
              <w:t>吴常云</w:t>
            </w:r>
          </w:p>
        </w:tc>
        <w:tc>
          <w:tcPr>
            <w:tcW w:w="4261" w:type="dxa"/>
          </w:tcPr>
          <w:p w14:paraId="4AD45FE7">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6627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4F6F7C08">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105"/>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14:paraId="21EAAFF5">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2336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2CE4C9FC">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4900B294">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8EAB63E">
      <w:pPr>
        <w:keepNext w:val="0"/>
        <w:keepLines w:val="0"/>
        <w:pageBreakBefore w:val="0"/>
        <w:widowControl w:val="0"/>
        <w:wordWrap/>
        <w:overflowPunct/>
        <w:topLinePunct w:val="0"/>
        <w:bidi w:val="0"/>
      </w:pPr>
      <w:r>
        <w:br w:type="page"/>
      </w:r>
    </w:p>
    <w:p w14:paraId="216C150E">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4ECBF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989CBB0">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617A85E">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E68B821">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59951C0A">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26DDC53C">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E03F917">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0887CE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181081D">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671EFA79">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8867702">
            <w:pPr>
              <w:keepNext w:val="0"/>
              <w:keepLines w:val="0"/>
              <w:pageBreakBefore w:val="0"/>
              <w:widowControl w:val="0"/>
              <w:wordWrap/>
              <w:overflowPunct/>
              <w:topLinePunct w:val="0"/>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A1EE508">
            <w:pPr>
              <w:keepNext w:val="0"/>
              <w:keepLines w:val="0"/>
              <w:pageBreakBefore w:val="0"/>
              <w:widowControl w:val="0"/>
              <w:wordWrap/>
              <w:overflowPunct/>
              <w:topLinePunct w:val="0"/>
              <w:bidi w:val="0"/>
              <w:spacing w:before="172" w:line="228" w:lineRule="auto"/>
              <w:ind w:left="313"/>
              <w:rPr>
                <w:rFonts w:ascii="宋体" w:hAnsi="宋体" w:eastAsia="宋体" w:cs="宋体"/>
                <w:sz w:val="20"/>
                <w:szCs w:val="20"/>
              </w:rPr>
            </w:pPr>
            <w:r>
              <w:rPr>
                <w:rFonts w:hint="eastAsia" w:ascii="宋体" w:hAnsi="宋体" w:eastAsia="宋体" w:cs="宋体"/>
                <w:spacing w:val="0"/>
                <w:kern w:val="0"/>
                <w:sz w:val="20"/>
                <w:szCs w:val="20"/>
                <w:lang w:val="en-US" w:eastAsia="zh-CN"/>
              </w:rPr>
              <w:t>吴常云</w:t>
            </w:r>
          </w:p>
        </w:tc>
        <w:tc>
          <w:tcPr>
            <w:tcW w:w="1150" w:type="dxa"/>
          </w:tcPr>
          <w:p w14:paraId="64F1DE56">
            <w:pPr>
              <w:keepNext w:val="0"/>
              <w:keepLines w:val="0"/>
              <w:pageBreakBefore w:val="0"/>
              <w:widowControl w:val="0"/>
              <w:wordWrap/>
              <w:overflowPunct/>
              <w:topLinePunct w:val="0"/>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lang w:val="en-US" w:eastAsia="zh-CN"/>
              </w:rPr>
              <w:t>宋</w:t>
            </w:r>
            <w:r>
              <w:rPr>
                <w:rFonts w:hint="eastAsia" w:ascii="宋体" w:hAnsi="宋体" w:eastAsia="宋体" w:cs="宋体"/>
                <w:spacing w:val="0"/>
                <w:kern w:val="0"/>
                <w:sz w:val="20"/>
                <w:szCs w:val="20"/>
                <w:lang w:val="en-US" w:eastAsia="zh-CN"/>
              </w:rPr>
              <w:t>振</w:t>
            </w:r>
          </w:p>
        </w:tc>
        <w:tc>
          <w:tcPr>
            <w:tcW w:w="1240" w:type="dxa"/>
          </w:tcPr>
          <w:p w14:paraId="007C3C42">
            <w:pPr>
              <w:keepNext w:val="0"/>
              <w:keepLines w:val="0"/>
              <w:pageBreakBefore w:val="0"/>
              <w:widowControl w:val="0"/>
              <w:wordWrap/>
              <w:overflowPunct/>
              <w:topLinePunct w:val="0"/>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45B6F6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A10A1EE">
            <w:pPr>
              <w:pStyle w:val="27"/>
              <w:keepNext w:val="0"/>
              <w:keepLines w:val="0"/>
              <w:pageBreakBefore w:val="0"/>
              <w:widowControl w:val="0"/>
              <w:wordWrap/>
              <w:overflowPunct/>
              <w:topLinePunct w:val="0"/>
              <w:bidi w:val="0"/>
            </w:pPr>
          </w:p>
        </w:tc>
        <w:tc>
          <w:tcPr>
            <w:tcW w:w="919" w:type="dxa"/>
          </w:tcPr>
          <w:p w14:paraId="5324903A">
            <w:pPr>
              <w:pStyle w:val="27"/>
              <w:keepNext w:val="0"/>
              <w:keepLines w:val="0"/>
              <w:pageBreakBefore w:val="0"/>
              <w:widowControl w:val="0"/>
              <w:wordWrap/>
              <w:overflowPunct/>
              <w:topLinePunct w:val="0"/>
              <w:bidi w:val="0"/>
            </w:pPr>
          </w:p>
        </w:tc>
        <w:tc>
          <w:tcPr>
            <w:tcW w:w="2289" w:type="dxa"/>
          </w:tcPr>
          <w:p w14:paraId="383B724D">
            <w:pPr>
              <w:pStyle w:val="27"/>
              <w:keepNext w:val="0"/>
              <w:keepLines w:val="0"/>
              <w:pageBreakBefore w:val="0"/>
              <w:widowControl w:val="0"/>
              <w:wordWrap/>
              <w:overflowPunct/>
              <w:topLinePunct w:val="0"/>
              <w:bidi w:val="0"/>
            </w:pPr>
          </w:p>
        </w:tc>
        <w:tc>
          <w:tcPr>
            <w:tcW w:w="1148" w:type="dxa"/>
          </w:tcPr>
          <w:p w14:paraId="2CED96B5">
            <w:pPr>
              <w:keepNext w:val="0"/>
              <w:keepLines w:val="0"/>
              <w:pageBreakBefore w:val="0"/>
              <w:widowControl w:val="0"/>
              <w:wordWrap/>
              <w:overflowPunct/>
              <w:topLinePunct w:val="0"/>
              <w:bidi w:val="0"/>
              <w:spacing w:before="172" w:line="228" w:lineRule="auto"/>
              <w:ind w:left="313"/>
            </w:pPr>
          </w:p>
        </w:tc>
        <w:tc>
          <w:tcPr>
            <w:tcW w:w="1150" w:type="dxa"/>
          </w:tcPr>
          <w:p w14:paraId="4FD2CB95">
            <w:pPr>
              <w:keepNext w:val="0"/>
              <w:keepLines w:val="0"/>
              <w:pageBreakBefore w:val="0"/>
              <w:widowControl w:val="0"/>
              <w:wordWrap/>
              <w:overflowPunct/>
              <w:topLinePunct w:val="0"/>
              <w:bidi w:val="0"/>
              <w:spacing w:before="172" w:line="228" w:lineRule="auto"/>
              <w:ind w:left="313"/>
            </w:pPr>
          </w:p>
        </w:tc>
        <w:tc>
          <w:tcPr>
            <w:tcW w:w="1240" w:type="dxa"/>
          </w:tcPr>
          <w:p w14:paraId="46A08F59">
            <w:pPr>
              <w:pStyle w:val="27"/>
              <w:keepNext w:val="0"/>
              <w:keepLines w:val="0"/>
              <w:pageBreakBefore w:val="0"/>
              <w:widowControl w:val="0"/>
              <w:wordWrap/>
              <w:overflowPunct/>
              <w:topLinePunct w:val="0"/>
              <w:bidi w:val="0"/>
            </w:pPr>
          </w:p>
        </w:tc>
      </w:tr>
      <w:tr w14:paraId="1E8211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A2C2ADF">
            <w:pPr>
              <w:pStyle w:val="27"/>
              <w:keepNext w:val="0"/>
              <w:keepLines w:val="0"/>
              <w:pageBreakBefore w:val="0"/>
              <w:widowControl w:val="0"/>
              <w:wordWrap/>
              <w:overflowPunct/>
              <w:topLinePunct w:val="0"/>
              <w:bidi w:val="0"/>
            </w:pPr>
          </w:p>
        </w:tc>
        <w:tc>
          <w:tcPr>
            <w:tcW w:w="919" w:type="dxa"/>
          </w:tcPr>
          <w:p w14:paraId="687B6BF3">
            <w:pPr>
              <w:pStyle w:val="27"/>
              <w:keepNext w:val="0"/>
              <w:keepLines w:val="0"/>
              <w:pageBreakBefore w:val="0"/>
              <w:widowControl w:val="0"/>
              <w:wordWrap/>
              <w:overflowPunct/>
              <w:topLinePunct w:val="0"/>
              <w:bidi w:val="0"/>
            </w:pPr>
          </w:p>
        </w:tc>
        <w:tc>
          <w:tcPr>
            <w:tcW w:w="2289" w:type="dxa"/>
          </w:tcPr>
          <w:p w14:paraId="0D0E0D9B">
            <w:pPr>
              <w:pStyle w:val="27"/>
              <w:keepNext w:val="0"/>
              <w:keepLines w:val="0"/>
              <w:pageBreakBefore w:val="0"/>
              <w:widowControl w:val="0"/>
              <w:wordWrap/>
              <w:overflowPunct/>
              <w:topLinePunct w:val="0"/>
              <w:bidi w:val="0"/>
            </w:pPr>
          </w:p>
        </w:tc>
        <w:tc>
          <w:tcPr>
            <w:tcW w:w="1148" w:type="dxa"/>
          </w:tcPr>
          <w:p w14:paraId="58B2EC87">
            <w:pPr>
              <w:keepNext w:val="0"/>
              <w:keepLines w:val="0"/>
              <w:pageBreakBefore w:val="0"/>
              <w:widowControl w:val="0"/>
              <w:wordWrap/>
              <w:overflowPunct/>
              <w:topLinePunct w:val="0"/>
              <w:bidi w:val="0"/>
              <w:spacing w:before="173" w:line="229" w:lineRule="auto"/>
              <w:ind w:left="314"/>
            </w:pPr>
          </w:p>
        </w:tc>
        <w:tc>
          <w:tcPr>
            <w:tcW w:w="1150" w:type="dxa"/>
          </w:tcPr>
          <w:p w14:paraId="15AA598F">
            <w:pPr>
              <w:keepNext w:val="0"/>
              <w:keepLines w:val="0"/>
              <w:pageBreakBefore w:val="0"/>
              <w:widowControl w:val="0"/>
              <w:wordWrap/>
              <w:overflowPunct/>
              <w:topLinePunct w:val="0"/>
              <w:bidi w:val="0"/>
              <w:spacing w:before="173" w:line="229" w:lineRule="auto"/>
              <w:ind w:left="314"/>
            </w:pPr>
          </w:p>
        </w:tc>
        <w:tc>
          <w:tcPr>
            <w:tcW w:w="1240" w:type="dxa"/>
          </w:tcPr>
          <w:p w14:paraId="14EBBE5E">
            <w:pPr>
              <w:pStyle w:val="27"/>
              <w:keepNext w:val="0"/>
              <w:keepLines w:val="0"/>
              <w:pageBreakBefore w:val="0"/>
              <w:widowControl w:val="0"/>
              <w:wordWrap/>
              <w:overflowPunct/>
              <w:topLinePunct w:val="0"/>
              <w:bidi w:val="0"/>
            </w:pPr>
          </w:p>
        </w:tc>
      </w:tr>
      <w:tr w14:paraId="3E254C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9F30206">
            <w:pPr>
              <w:pStyle w:val="27"/>
              <w:keepNext w:val="0"/>
              <w:keepLines w:val="0"/>
              <w:pageBreakBefore w:val="0"/>
              <w:widowControl w:val="0"/>
              <w:wordWrap/>
              <w:overflowPunct/>
              <w:topLinePunct w:val="0"/>
              <w:bidi w:val="0"/>
            </w:pPr>
          </w:p>
        </w:tc>
        <w:tc>
          <w:tcPr>
            <w:tcW w:w="919" w:type="dxa"/>
          </w:tcPr>
          <w:p w14:paraId="324CF102">
            <w:pPr>
              <w:pStyle w:val="27"/>
              <w:keepNext w:val="0"/>
              <w:keepLines w:val="0"/>
              <w:pageBreakBefore w:val="0"/>
              <w:widowControl w:val="0"/>
              <w:wordWrap/>
              <w:overflowPunct/>
              <w:topLinePunct w:val="0"/>
              <w:bidi w:val="0"/>
            </w:pPr>
          </w:p>
        </w:tc>
        <w:tc>
          <w:tcPr>
            <w:tcW w:w="2289" w:type="dxa"/>
          </w:tcPr>
          <w:p w14:paraId="2AF95A18">
            <w:pPr>
              <w:pStyle w:val="27"/>
              <w:keepNext w:val="0"/>
              <w:keepLines w:val="0"/>
              <w:pageBreakBefore w:val="0"/>
              <w:widowControl w:val="0"/>
              <w:wordWrap/>
              <w:overflowPunct/>
              <w:topLinePunct w:val="0"/>
              <w:bidi w:val="0"/>
            </w:pPr>
          </w:p>
        </w:tc>
        <w:tc>
          <w:tcPr>
            <w:tcW w:w="1148" w:type="dxa"/>
          </w:tcPr>
          <w:p w14:paraId="0873322A">
            <w:pPr>
              <w:pStyle w:val="27"/>
              <w:keepNext w:val="0"/>
              <w:keepLines w:val="0"/>
              <w:pageBreakBefore w:val="0"/>
              <w:widowControl w:val="0"/>
              <w:wordWrap/>
              <w:overflowPunct/>
              <w:topLinePunct w:val="0"/>
              <w:bidi w:val="0"/>
            </w:pPr>
          </w:p>
        </w:tc>
        <w:tc>
          <w:tcPr>
            <w:tcW w:w="1150" w:type="dxa"/>
          </w:tcPr>
          <w:p w14:paraId="22CACA45">
            <w:pPr>
              <w:pStyle w:val="27"/>
              <w:keepNext w:val="0"/>
              <w:keepLines w:val="0"/>
              <w:pageBreakBefore w:val="0"/>
              <w:widowControl w:val="0"/>
              <w:wordWrap/>
              <w:overflowPunct/>
              <w:topLinePunct w:val="0"/>
              <w:bidi w:val="0"/>
            </w:pPr>
          </w:p>
        </w:tc>
        <w:tc>
          <w:tcPr>
            <w:tcW w:w="1240" w:type="dxa"/>
          </w:tcPr>
          <w:p w14:paraId="48F7684D">
            <w:pPr>
              <w:pStyle w:val="27"/>
              <w:keepNext w:val="0"/>
              <w:keepLines w:val="0"/>
              <w:pageBreakBefore w:val="0"/>
              <w:widowControl w:val="0"/>
              <w:wordWrap/>
              <w:overflowPunct/>
              <w:topLinePunct w:val="0"/>
              <w:bidi w:val="0"/>
            </w:pPr>
          </w:p>
        </w:tc>
      </w:tr>
      <w:tr w14:paraId="16D4CF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001F408">
            <w:pPr>
              <w:pStyle w:val="27"/>
              <w:keepNext w:val="0"/>
              <w:keepLines w:val="0"/>
              <w:pageBreakBefore w:val="0"/>
              <w:widowControl w:val="0"/>
              <w:wordWrap/>
              <w:overflowPunct/>
              <w:topLinePunct w:val="0"/>
              <w:bidi w:val="0"/>
            </w:pPr>
          </w:p>
        </w:tc>
        <w:tc>
          <w:tcPr>
            <w:tcW w:w="919" w:type="dxa"/>
          </w:tcPr>
          <w:p w14:paraId="245B768B">
            <w:pPr>
              <w:pStyle w:val="27"/>
              <w:keepNext w:val="0"/>
              <w:keepLines w:val="0"/>
              <w:pageBreakBefore w:val="0"/>
              <w:widowControl w:val="0"/>
              <w:wordWrap/>
              <w:overflowPunct/>
              <w:topLinePunct w:val="0"/>
              <w:bidi w:val="0"/>
            </w:pPr>
          </w:p>
        </w:tc>
        <w:tc>
          <w:tcPr>
            <w:tcW w:w="2289" w:type="dxa"/>
          </w:tcPr>
          <w:p w14:paraId="50062D48">
            <w:pPr>
              <w:pStyle w:val="27"/>
              <w:keepNext w:val="0"/>
              <w:keepLines w:val="0"/>
              <w:pageBreakBefore w:val="0"/>
              <w:widowControl w:val="0"/>
              <w:wordWrap/>
              <w:overflowPunct/>
              <w:topLinePunct w:val="0"/>
              <w:bidi w:val="0"/>
            </w:pPr>
          </w:p>
        </w:tc>
        <w:tc>
          <w:tcPr>
            <w:tcW w:w="1148" w:type="dxa"/>
          </w:tcPr>
          <w:p w14:paraId="3A991A83">
            <w:pPr>
              <w:pStyle w:val="27"/>
              <w:keepNext w:val="0"/>
              <w:keepLines w:val="0"/>
              <w:pageBreakBefore w:val="0"/>
              <w:widowControl w:val="0"/>
              <w:wordWrap/>
              <w:overflowPunct/>
              <w:topLinePunct w:val="0"/>
              <w:bidi w:val="0"/>
            </w:pPr>
          </w:p>
        </w:tc>
        <w:tc>
          <w:tcPr>
            <w:tcW w:w="1150" w:type="dxa"/>
          </w:tcPr>
          <w:p w14:paraId="62B50BC8">
            <w:pPr>
              <w:pStyle w:val="27"/>
              <w:keepNext w:val="0"/>
              <w:keepLines w:val="0"/>
              <w:pageBreakBefore w:val="0"/>
              <w:widowControl w:val="0"/>
              <w:wordWrap/>
              <w:overflowPunct/>
              <w:topLinePunct w:val="0"/>
              <w:bidi w:val="0"/>
            </w:pPr>
          </w:p>
        </w:tc>
        <w:tc>
          <w:tcPr>
            <w:tcW w:w="1240" w:type="dxa"/>
          </w:tcPr>
          <w:p w14:paraId="48574AD7">
            <w:pPr>
              <w:pStyle w:val="27"/>
              <w:keepNext w:val="0"/>
              <w:keepLines w:val="0"/>
              <w:pageBreakBefore w:val="0"/>
              <w:widowControl w:val="0"/>
              <w:wordWrap/>
              <w:overflowPunct/>
              <w:topLinePunct w:val="0"/>
              <w:bidi w:val="0"/>
            </w:pPr>
          </w:p>
        </w:tc>
      </w:tr>
      <w:tr w14:paraId="5B97C5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F665913">
            <w:pPr>
              <w:pStyle w:val="27"/>
              <w:keepNext w:val="0"/>
              <w:keepLines w:val="0"/>
              <w:pageBreakBefore w:val="0"/>
              <w:widowControl w:val="0"/>
              <w:wordWrap/>
              <w:overflowPunct/>
              <w:topLinePunct w:val="0"/>
              <w:bidi w:val="0"/>
            </w:pPr>
          </w:p>
        </w:tc>
        <w:tc>
          <w:tcPr>
            <w:tcW w:w="919" w:type="dxa"/>
          </w:tcPr>
          <w:p w14:paraId="7006408B">
            <w:pPr>
              <w:pStyle w:val="27"/>
              <w:keepNext w:val="0"/>
              <w:keepLines w:val="0"/>
              <w:pageBreakBefore w:val="0"/>
              <w:widowControl w:val="0"/>
              <w:wordWrap/>
              <w:overflowPunct/>
              <w:topLinePunct w:val="0"/>
              <w:bidi w:val="0"/>
            </w:pPr>
          </w:p>
        </w:tc>
        <w:tc>
          <w:tcPr>
            <w:tcW w:w="2289" w:type="dxa"/>
          </w:tcPr>
          <w:p w14:paraId="1FA8A817">
            <w:pPr>
              <w:pStyle w:val="27"/>
              <w:keepNext w:val="0"/>
              <w:keepLines w:val="0"/>
              <w:pageBreakBefore w:val="0"/>
              <w:widowControl w:val="0"/>
              <w:wordWrap/>
              <w:overflowPunct/>
              <w:topLinePunct w:val="0"/>
              <w:bidi w:val="0"/>
            </w:pPr>
          </w:p>
        </w:tc>
        <w:tc>
          <w:tcPr>
            <w:tcW w:w="1148" w:type="dxa"/>
          </w:tcPr>
          <w:p w14:paraId="38D4787C">
            <w:pPr>
              <w:pStyle w:val="27"/>
              <w:keepNext w:val="0"/>
              <w:keepLines w:val="0"/>
              <w:pageBreakBefore w:val="0"/>
              <w:widowControl w:val="0"/>
              <w:wordWrap/>
              <w:overflowPunct/>
              <w:topLinePunct w:val="0"/>
              <w:bidi w:val="0"/>
            </w:pPr>
          </w:p>
        </w:tc>
        <w:tc>
          <w:tcPr>
            <w:tcW w:w="1150" w:type="dxa"/>
          </w:tcPr>
          <w:p w14:paraId="6E2C8CEE">
            <w:pPr>
              <w:pStyle w:val="27"/>
              <w:keepNext w:val="0"/>
              <w:keepLines w:val="0"/>
              <w:pageBreakBefore w:val="0"/>
              <w:widowControl w:val="0"/>
              <w:wordWrap/>
              <w:overflowPunct/>
              <w:topLinePunct w:val="0"/>
              <w:bidi w:val="0"/>
            </w:pPr>
          </w:p>
        </w:tc>
        <w:tc>
          <w:tcPr>
            <w:tcW w:w="1240" w:type="dxa"/>
          </w:tcPr>
          <w:p w14:paraId="3C29080A">
            <w:pPr>
              <w:pStyle w:val="27"/>
              <w:keepNext w:val="0"/>
              <w:keepLines w:val="0"/>
              <w:pageBreakBefore w:val="0"/>
              <w:widowControl w:val="0"/>
              <w:wordWrap/>
              <w:overflowPunct/>
              <w:topLinePunct w:val="0"/>
              <w:bidi w:val="0"/>
            </w:pPr>
          </w:p>
        </w:tc>
      </w:tr>
    </w:tbl>
    <w:p w14:paraId="1E4A6384">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68284"/>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6EF7DF2">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20D49B40">
          <w:pPr>
            <w:pStyle w:val="17"/>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_Toc3221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_Toc3221 \h </w:instrText>
          </w:r>
          <w:r>
            <w:fldChar w:fldCharType="separate"/>
          </w:r>
          <w:r>
            <w:t>1</w:t>
          </w:r>
          <w:r>
            <w:fldChar w:fldCharType="end"/>
          </w:r>
          <w:r>
            <w:rPr>
              <w:rFonts w:hint="eastAsia" w:ascii="宋体" w:hAnsi="宋体" w:eastAsia="宋体" w:cs="宋体"/>
              <w:szCs w:val="24"/>
            </w:rPr>
            <w:fldChar w:fldCharType="end"/>
          </w:r>
        </w:p>
        <w:p w14:paraId="1579CA8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_Toc32226 </w:instrText>
          </w:r>
          <w:r>
            <w:rPr>
              <w:rFonts w:hint="eastAsia" w:ascii="宋体" w:hAnsi="宋体" w:eastAsia="宋体" w:cs="宋体"/>
              <w:szCs w:val="24"/>
            </w:rPr>
            <w:fldChar w:fldCharType="separate"/>
          </w:r>
          <w:r>
            <w:rPr>
              <w:rFonts w:hint="eastAsia"/>
              <w:lang w:val="en-US" w:eastAsia="zh-CN"/>
            </w:rPr>
            <w:t>组织架构及部门职责</w:t>
          </w:r>
          <w:r>
            <w:tab/>
          </w:r>
          <w:r>
            <w:fldChar w:fldCharType="begin"/>
          </w:r>
          <w:r>
            <w:instrText xml:space="preserve"> PAGEREF _Toc32226 \h </w:instrText>
          </w:r>
          <w:r>
            <w:fldChar w:fldCharType="separate"/>
          </w:r>
          <w:r>
            <w:t>1</w:t>
          </w:r>
          <w:r>
            <w:fldChar w:fldCharType="end"/>
          </w:r>
          <w:r>
            <w:rPr>
              <w:rFonts w:hint="eastAsia" w:ascii="宋体" w:hAnsi="宋体" w:eastAsia="宋体" w:cs="宋体"/>
              <w:szCs w:val="24"/>
            </w:rPr>
            <w:fldChar w:fldCharType="end"/>
          </w:r>
        </w:p>
        <w:p w14:paraId="3DEA72B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_Toc22911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组织架构图</w:t>
          </w:r>
          <w:r>
            <w:tab/>
          </w:r>
          <w:r>
            <w:fldChar w:fldCharType="begin"/>
          </w:r>
          <w:r>
            <w:instrText xml:space="preserve"> PAGEREF _Toc22911 \h </w:instrText>
          </w:r>
          <w:r>
            <w:fldChar w:fldCharType="separate"/>
          </w:r>
          <w:r>
            <w:t>4</w:t>
          </w:r>
          <w:r>
            <w:fldChar w:fldCharType="end"/>
          </w:r>
          <w:r>
            <w:rPr>
              <w:rFonts w:hint="eastAsia" w:ascii="宋体" w:hAnsi="宋体" w:eastAsia="宋体" w:cs="宋体"/>
              <w:szCs w:val="24"/>
            </w:rPr>
            <w:fldChar w:fldCharType="end"/>
          </w:r>
        </w:p>
        <w:p w14:paraId="12411D1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_Toc9799 </w:instrText>
          </w:r>
          <w:r>
            <w:rPr>
              <w:rFonts w:hint="eastAsia" w:ascii="宋体" w:hAnsi="宋体" w:eastAsia="宋体" w:cs="宋体"/>
              <w:szCs w:val="24"/>
            </w:rPr>
            <w:fldChar w:fldCharType="separate"/>
          </w:r>
          <w:r>
            <w:rPr>
              <w:rFonts w:hint="default"/>
            </w:rPr>
            <w:t xml:space="preserve">2. </w:t>
          </w:r>
          <w:r>
            <w:t>部门设定及岗位职责</w:t>
          </w:r>
          <w:r>
            <w:tab/>
          </w:r>
          <w:r>
            <w:fldChar w:fldCharType="begin"/>
          </w:r>
          <w:r>
            <w:instrText xml:space="preserve"> PAGEREF _Toc9799 \h </w:instrText>
          </w:r>
          <w:r>
            <w:fldChar w:fldCharType="separate"/>
          </w:r>
          <w:r>
            <w:t>5</w:t>
          </w:r>
          <w:r>
            <w:fldChar w:fldCharType="end"/>
          </w:r>
          <w:r>
            <w:rPr>
              <w:rFonts w:hint="eastAsia" w:ascii="宋体" w:hAnsi="宋体" w:eastAsia="宋体" w:cs="宋体"/>
              <w:szCs w:val="24"/>
            </w:rPr>
            <w:fldChar w:fldCharType="end"/>
          </w:r>
        </w:p>
        <w:p w14:paraId="7392D56E">
          <w:pPr>
            <w:pStyle w:val="2"/>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_Toc5763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概述</w:t>
          </w:r>
          <w:r>
            <w:tab/>
          </w:r>
          <w:r>
            <w:fldChar w:fldCharType="begin"/>
          </w:r>
          <w:r>
            <w:instrText xml:space="preserve"> PAGEREF _Toc5763 \h </w:instrText>
          </w:r>
          <w:r>
            <w:fldChar w:fldCharType="separate"/>
          </w:r>
          <w:r>
            <w:t>5</w:t>
          </w:r>
          <w:r>
            <w:fldChar w:fldCharType="end"/>
          </w:r>
          <w:r>
            <w:rPr>
              <w:rFonts w:hint="eastAsia" w:ascii="宋体" w:hAnsi="宋体" w:eastAsia="宋体" w:cs="宋体"/>
              <w:szCs w:val="24"/>
            </w:rPr>
            <w:fldChar w:fldCharType="end"/>
          </w:r>
        </w:p>
        <w:p w14:paraId="5EC52091">
          <w:pPr>
            <w:pStyle w:val="2"/>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_Toc8645 </w:instrText>
          </w:r>
          <w:r>
            <w:rPr>
              <w:rFonts w:hint="eastAsia" w:ascii="宋体" w:hAnsi="宋体" w:eastAsia="宋体" w:cs="宋体"/>
              <w:szCs w:val="24"/>
            </w:rPr>
            <w:fldChar w:fldCharType="separate"/>
          </w:r>
          <w:r>
            <w:rPr>
              <w:rFonts w:hint="default" w:ascii="黑体" w:hAnsi="黑体" w:eastAsia="黑体" w:cs="黑体"/>
              <w:szCs w:val="24"/>
            </w:rPr>
            <w:t xml:space="preserve">2.2. </w:t>
          </w:r>
          <w:r>
            <w:rPr>
              <w:rFonts w:hint="eastAsia" w:ascii="黑体" w:hAnsi="黑体" w:eastAsia="黑体" w:cs="黑体"/>
              <w:spacing w:val="-2"/>
              <w:szCs w:val="24"/>
              <w:lang w:val="en-US" w:eastAsia="zh-CN"/>
            </w:rPr>
            <w:t>岗位职责说明</w:t>
          </w:r>
          <w:r>
            <w:tab/>
          </w:r>
          <w:r>
            <w:fldChar w:fldCharType="begin"/>
          </w:r>
          <w:r>
            <w:instrText xml:space="preserve"> PAGEREF _Toc8645 \h </w:instrText>
          </w:r>
          <w:r>
            <w:fldChar w:fldCharType="separate"/>
          </w:r>
          <w:r>
            <w:t>6</w:t>
          </w:r>
          <w:r>
            <w:fldChar w:fldCharType="end"/>
          </w:r>
          <w:r>
            <w:rPr>
              <w:rFonts w:hint="eastAsia" w:ascii="宋体" w:hAnsi="宋体" w:eastAsia="宋体" w:cs="宋体"/>
              <w:szCs w:val="24"/>
            </w:rPr>
            <w:fldChar w:fldCharType="end"/>
          </w:r>
        </w:p>
        <w:p w14:paraId="32FDCC2F">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_Toc3347 </w:instrText>
          </w:r>
          <w:r>
            <w:rPr>
              <w:rFonts w:hint="eastAsia" w:ascii="宋体" w:hAnsi="宋体" w:eastAsia="宋体" w:cs="宋体"/>
              <w:szCs w:val="24"/>
            </w:rPr>
            <w:fldChar w:fldCharType="separate"/>
          </w:r>
          <w:r>
            <w:rPr>
              <w:rFonts w:hint="default"/>
            </w:rPr>
            <w:t xml:space="preserve">2.2.1. </w:t>
          </w:r>
          <w:r>
            <w:t>总经理</w:t>
          </w:r>
          <w:r>
            <w:tab/>
          </w:r>
          <w:r>
            <w:fldChar w:fldCharType="begin"/>
          </w:r>
          <w:r>
            <w:instrText xml:space="preserve"> PAGEREF _Toc3347 \h </w:instrText>
          </w:r>
          <w:r>
            <w:fldChar w:fldCharType="separate"/>
          </w:r>
          <w:r>
            <w:t>6</w:t>
          </w:r>
          <w:r>
            <w:fldChar w:fldCharType="end"/>
          </w:r>
          <w:r>
            <w:rPr>
              <w:rFonts w:hint="eastAsia" w:ascii="宋体" w:hAnsi="宋体" w:eastAsia="宋体" w:cs="宋体"/>
              <w:szCs w:val="24"/>
            </w:rPr>
            <w:fldChar w:fldCharType="end"/>
          </w:r>
        </w:p>
        <w:p w14:paraId="243291B3">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 </w:instrText>
          </w:r>
          <w:r>
            <w:rPr>
              <w:rFonts w:hint="eastAsia" w:ascii="宋体" w:hAnsi="宋体" w:eastAsia="宋体" w:cs="宋体"/>
              <w:szCs w:val="24"/>
            </w:rPr>
            <w:fldChar w:fldCharType="separate"/>
          </w:r>
          <w:r>
            <w:rPr>
              <w:rFonts w:hint="default"/>
            </w:rPr>
            <w:t xml:space="preserve">2.2.2. </w:t>
          </w:r>
          <w:r>
            <w:rPr>
              <w:rFonts w:hint="eastAsia"/>
              <w:lang w:val="en-US" w:eastAsia="zh-CN"/>
            </w:rPr>
            <w:t>副总经理</w:t>
          </w:r>
          <w:r>
            <w:tab/>
          </w:r>
          <w:r>
            <w:fldChar w:fldCharType="begin"/>
          </w:r>
          <w:r>
            <w:instrText xml:space="preserve"> PAGEREF _Toc279 \h </w:instrText>
          </w:r>
          <w:r>
            <w:fldChar w:fldCharType="separate"/>
          </w:r>
          <w:r>
            <w:t>7</w:t>
          </w:r>
          <w:r>
            <w:fldChar w:fldCharType="end"/>
          </w:r>
          <w:r>
            <w:rPr>
              <w:rFonts w:hint="eastAsia" w:ascii="宋体" w:hAnsi="宋体" w:eastAsia="宋体" w:cs="宋体"/>
              <w:szCs w:val="24"/>
            </w:rPr>
            <w:fldChar w:fldCharType="end"/>
          </w:r>
        </w:p>
        <w:p w14:paraId="49E93264">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_Toc11182 </w:instrText>
          </w:r>
          <w:r>
            <w:rPr>
              <w:rFonts w:hint="eastAsia" w:ascii="宋体" w:hAnsi="宋体" w:eastAsia="宋体" w:cs="宋体"/>
              <w:szCs w:val="24"/>
            </w:rPr>
            <w:fldChar w:fldCharType="separate"/>
          </w:r>
          <w:r>
            <w:rPr>
              <w:rFonts w:hint="default"/>
            </w:rPr>
            <w:t xml:space="preserve">2.2.3. </w:t>
          </w:r>
          <w:r>
            <w:t>管理者代表</w:t>
          </w:r>
          <w:r>
            <w:tab/>
          </w:r>
          <w:r>
            <w:fldChar w:fldCharType="begin"/>
          </w:r>
          <w:r>
            <w:instrText xml:space="preserve"> PAGEREF _Toc11182 \h </w:instrText>
          </w:r>
          <w:r>
            <w:fldChar w:fldCharType="separate"/>
          </w:r>
          <w:r>
            <w:t>7</w:t>
          </w:r>
          <w:r>
            <w:fldChar w:fldCharType="end"/>
          </w:r>
          <w:r>
            <w:rPr>
              <w:rFonts w:hint="eastAsia" w:ascii="宋体" w:hAnsi="宋体" w:eastAsia="宋体" w:cs="宋体"/>
              <w:szCs w:val="24"/>
            </w:rPr>
            <w:fldChar w:fldCharType="end"/>
          </w:r>
        </w:p>
        <w:p w14:paraId="057C8F6E">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_Toc24243 </w:instrText>
          </w:r>
          <w:r>
            <w:rPr>
              <w:rFonts w:hint="eastAsia" w:ascii="宋体" w:hAnsi="宋体" w:eastAsia="宋体" w:cs="宋体"/>
              <w:szCs w:val="24"/>
            </w:rPr>
            <w:fldChar w:fldCharType="separate"/>
          </w:r>
          <w:r>
            <w:rPr>
              <w:rFonts w:hint="default"/>
            </w:rPr>
            <w:t xml:space="preserve">2.2.4. </w:t>
          </w:r>
          <w:r>
            <w:t>应急管理办公室</w:t>
          </w:r>
          <w:r>
            <w:tab/>
          </w:r>
          <w:r>
            <w:fldChar w:fldCharType="begin"/>
          </w:r>
          <w:r>
            <w:instrText xml:space="preserve"> PAGEREF _Toc24243 \h </w:instrText>
          </w:r>
          <w:r>
            <w:fldChar w:fldCharType="separate"/>
          </w:r>
          <w:r>
            <w:t>8</w:t>
          </w:r>
          <w:r>
            <w:fldChar w:fldCharType="end"/>
          </w:r>
          <w:r>
            <w:rPr>
              <w:rFonts w:hint="eastAsia" w:ascii="宋体" w:hAnsi="宋体" w:eastAsia="宋体" w:cs="宋体"/>
              <w:szCs w:val="24"/>
            </w:rPr>
            <w:fldChar w:fldCharType="end"/>
          </w:r>
        </w:p>
        <w:p w14:paraId="4D661821">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_Toc6455 </w:instrText>
          </w:r>
          <w:r>
            <w:rPr>
              <w:rFonts w:hint="eastAsia" w:ascii="宋体" w:hAnsi="宋体" w:eastAsia="宋体" w:cs="宋体"/>
              <w:szCs w:val="24"/>
            </w:rPr>
            <w:fldChar w:fldCharType="separate"/>
          </w:r>
          <w:r>
            <w:rPr>
              <w:rFonts w:hint="default"/>
            </w:rPr>
            <w:t xml:space="preserve">2.2.5. </w:t>
          </w:r>
          <w:r>
            <w:rPr>
              <w:rFonts w:hint="eastAsia"/>
              <w:lang w:val="en-US" w:eastAsia="zh-CN"/>
            </w:rPr>
            <w:t>人工智能部</w:t>
          </w:r>
          <w:r>
            <w:tab/>
          </w:r>
          <w:r>
            <w:fldChar w:fldCharType="begin"/>
          </w:r>
          <w:r>
            <w:instrText xml:space="preserve"> PAGEREF _Toc6455 \h </w:instrText>
          </w:r>
          <w:r>
            <w:fldChar w:fldCharType="separate"/>
          </w:r>
          <w:r>
            <w:t>8</w:t>
          </w:r>
          <w:r>
            <w:fldChar w:fldCharType="end"/>
          </w:r>
          <w:r>
            <w:rPr>
              <w:rFonts w:hint="eastAsia" w:ascii="宋体" w:hAnsi="宋体" w:eastAsia="宋体" w:cs="宋体"/>
              <w:szCs w:val="24"/>
            </w:rPr>
            <w:fldChar w:fldCharType="end"/>
          </w:r>
        </w:p>
        <w:p w14:paraId="46052AF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_Toc27429 </w:instrText>
          </w:r>
          <w:r>
            <w:rPr>
              <w:rFonts w:hint="eastAsia" w:ascii="宋体" w:hAnsi="宋体" w:eastAsia="宋体" w:cs="宋体"/>
              <w:szCs w:val="24"/>
            </w:rPr>
            <w:fldChar w:fldCharType="separate"/>
          </w:r>
          <w:r>
            <w:rPr>
              <w:rFonts w:hint="default"/>
              <w:lang w:val="en-US"/>
            </w:rPr>
            <w:t xml:space="preserve">2.2.6. </w:t>
          </w:r>
          <w:r>
            <w:rPr>
              <w:rFonts w:hint="eastAsia"/>
              <w:lang w:val="en-US" w:eastAsia="zh-CN"/>
            </w:rPr>
            <w:t>采购部</w:t>
          </w:r>
          <w:r>
            <w:tab/>
          </w:r>
          <w:r>
            <w:fldChar w:fldCharType="begin"/>
          </w:r>
          <w:r>
            <w:instrText xml:space="preserve"> PAGEREF _Toc27429 \h </w:instrText>
          </w:r>
          <w:r>
            <w:fldChar w:fldCharType="separate"/>
          </w:r>
          <w:r>
            <w:t>9</w:t>
          </w:r>
          <w:r>
            <w:fldChar w:fldCharType="end"/>
          </w:r>
          <w:r>
            <w:rPr>
              <w:rFonts w:hint="eastAsia" w:ascii="宋体" w:hAnsi="宋体" w:eastAsia="宋体" w:cs="宋体"/>
              <w:szCs w:val="24"/>
            </w:rPr>
            <w:fldChar w:fldCharType="end"/>
          </w:r>
        </w:p>
        <w:p w14:paraId="4613E40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_Toc15446 </w:instrText>
          </w:r>
          <w:r>
            <w:rPr>
              <w:rFonts w:hint="eastAsia" w:ascii="宋体" w:hAnsi="宋体" w:eastAsia="宋体" w:cs="宋体"/>
              <w:szCs w:val="24"/>
            </w:rPr>
            <w:fldChar w:fldCharType="separate"/>
          </w:r>
          <w:r>
            <w:rPr>
              <w:rFonts w:hint="default"/>
            </w:rPr>
            <w:t xml:space="preserve">2.2.7. </w:t>
          </w:r>
          <w:r>
            <w:rPr>
              <w:rFonts w:hint="eastAsia"/>
              <w:lang w:val="en-US" w:eastAsia="zh-CN"/>
            </w:rPr>
            <w:t>综合办公室</w:t>
          </w:r>
          <w:r>
            <w:tab/>
          </w:r>
          <w:r>
            <w:fldChar w:fldCharType="begin"/>
          </w:r>
          <w:r>
            <w:instrText xml:space="preserve"> PAGEREF _Toc15446 \h </w:instrText>
          </w:r>
          <w:r>
            <w:fldChar w:fldCharType="separate"/>
          </w:r>
          <w:r>
            <w:t>10</w:t>
          </w:r>
          <w:r>
            <w:fldChar w:fldCharType="end"/>
          </w:r>
          <w:r>
            <w:rPr>
              <w:rFonts w:hint="eastAsia" w:ascii="宋体" w:hAnsi="宋体" w:eastAsia="宋体" w:cs="宋体"/>
              <w:szCs w:val="24"/>
            </w:rPr>
            <w:fldChar w:fldCharType="end"/>
          </w:r>
        </w:p>
        <w:p w14:paraId="1EFB4C86">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_Toc20865 </w:instrText>
          </w:r>
          <w:r>
            <w:rPr>
              <w:rFonts w:hint="eastAsia" w:ascii="宋体" w:hAnsi="宋体" w:eastAsia="宋体" w:cs="宋体"/>
              <w:szCs w:val="24"/>
            </w:rPr>
            <w:fldChar w:fldCharType="separate"/>
          </w:r>
          <w:r>
            <w:rPr>
              <w:rFonts w:hint="default"/>
              <w:lang w:val="en-US" w:eastAsia="zh-CN"/>
            </w:rPr>
            <w:t xml:space="preserve">2.2.8. </w:t>
          </w:r>
          <w:r>
            <w:rPr>
              <w:rFonts w:hint="eastAsia"/>
              <w:lang w:val="en-US" w:eastAsia="zh-CN"/>
            </w:rPr>
            <w:t>管控部</w:t>
          </w:r>
          <w:r>
            <w:tab/>
          </w:r>
          <w:r>
            <w:fldChar w:fldCharType="begin"/>
          </w:r>
          <w:r>
            <w:instrText xml:space="preserve"> PAGEREF _Toc20865 \h </w:instrText>
          </w:r>
          <w:r>
            <w:fldChar w:fldCharType="separate"/>
          </w:r>
          <w:r>
            <w:t>11</w:t>
          </w:r>
          <w:r>
            <w:fldChar w:fldCharType="end"/>
          </w:r>
          <w:r>
            <w:rPr>
              <w:rFonts w:hint="eastAsia" w:ascii="宋体" w:hAnsi="宋体" w:eastAsia="宋体" w:cs="宋体"/>
              <w:szCs w:val="24"/>
            </w:rPr>
            <w:fldChar w:fldCharType="end"/>
          </w:r>
        </w:p>
        <w:p w14:paraId="31F38131">
          <w:pPr>
            <w:keepNext w:val="0"/>
            <w:keepLines w:val="0"/>
            <w:pageBreakBefore w:val="0"/>
            <w:widowControl w:val="0"/>
            <w:wordWrap/>
            <w:overflowPunct/>
            <w:topLinePunct w:val="0"/>
            <w:bidi w:val="0"/>
          </w:pPr>
          <w:r>
            <w:rPr>
              <w:rFonts w:hint="eastAsia" w:ascii="宋体" w:hAnsi="宋体" w:eastAsia="宋体" w:cs="宋体"/>
              <w:szCs w:val="24"/>
            </w:rPr>
            <w:fldChar w:fldCharType="end"/>
          </w:r>
        </w:p>
      </w:sdtContent>
    </w:sdt>
    <w:p w14:paraId="7BACDB20">
      <w:pPr>
        <w:keepNext w:val="0"/>
        <w:keepLines w:val="0"/>
        <w:pageBreakBefore w:val="0"/>
        <w:widowControl w:val="0"/>
        <w:wordWrap/>
        <w:overflowPunct/>
        <w:topLinePunct w:val="0"/>
        <w:bidi w:val="0"/>
      </w:pPr>
    </w:p>
    <w:p w14:paraId="32BF3140">
      <w:pPr>
        <w:keepNext w:val="0"/>
        <w:keepLines w:val="0"/>
        <w:pageBreakBefore w:val="0"/>
        <w:widowControl w:val="0"/>
        <w:wordWrap/>
        <w:overflowPunct/>
        <w:topLinePunct w:val="0"/>
        <w:bidi w:val="0"/>
      </w:pPr>
      <w:r>
        <w:br w:type="page"/>
      </w:r>
    </w:p>
    <w:p w14:paraId="6E5D8678">
      <w:pPr>
        <w:keepNext w:val="0"/>
        <w:keepLines w:val="0"/>
        <w:pageBreakBefore w:val="0"/>
        <w:widowControl w:val="0"/>
        <w:wordWrap/>
        <w:overflowPunct/>
        <w:topLinePunct w:val="0"/>
        <w:bidi w:val="0"/>
      </w:pPr>
    </w:p>
    <w:p w14:paraId="238DA142">
      <w:pPr>
        <w:pStyle w:val="28"/>
        <w:keepNext w:val="0"/>
        <w:keepLines w:val="0"/>
        <w:pageBreakBefore w:val="0"/>
        <w:widowControl w:val="0"/>
        <w:wordWrap/>
        <w:overflowPunct/>
        <w:topLinePunct w:val="0"/>
        <w:bidi w:val="0"/>
        <w:rPr>
          <w:rFonts w:hint="default"/>
          <w:lang w:val="en-US" w:eastAsia="zh-CN"/>
        </w:rPr>
      </w:pPr>
      <w:bookmarkStart w:id="2" w:name="_Toc22911"/>
      <w:r>
        <w:rPr>
          <w:rFonts w:hint="eastAsia"/>
          <w:lang w:val="en-US" w:eastAsia="zh-CN"/>
        </w:rPr>
        <w:t>组织架构图</w:t>
      </w:r>
      <w:bookmarkEnd w:id="2"/>
    </w:p>
    <w:p w14:paraId="5762161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青岛瑞源工程集团有限公司</w:t>
      </w:r>
      <w:r>
        <w:rPr>
          <w:rFonts w:hint="eastAsia" w:ascii="宋体" w:hAnsi="宋体" w:cs="宋体"/>
          <w:sz w:val="24"/>
          <w:szCs w:val="24"/>
          <w:lang w:val="en-US" w:eastAsia="zh-CN"/>
        </w:rPr>
        <w:t>运维</w:t>
      </w:r>
      <w:r>
        <w:rPr>
          <w:rFonts w:hint="eastAsia" w:ascii="宋体" w:hAnsi="宋体" w:eastAsia="宋体" w:cs="宋体"/>
          <w:sz w:val="24"/>
          <w:szCs w:val="24"/>
          <w:lang w:val="en-US" w:eastAsia="zh-CN"/>
        </w:rPr>
        <w:t>相关组织部门如下:</w:t>
      </w:r>
    </w:p>
    <w:p w14:paraId="67E2CBB7">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管理者代表</w:t>
      </w:r>
    </w:p>
    <w:p w14:paraId="46A0F210">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副总经理</w:t>
      </w:r>
    </w:p>
    <w:p w14:paraId="4BB0692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84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应急管理办公室</w:t>
      </w:r>
    </w:p>
    <w:p w14:paraId="7E50B45F">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技术支持小组</w:t>
      </w:r>
    </w:p>
    <w:p w14:paraId="13025857">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后勤保障小组</w:t>
      </w:r>
    </w:p>
    <w:p w14:paraId="5F4186A8">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应急执行小组</w:t>
      </w:r>
    </w:p>
    <w:p w14:paraId="72B81E97">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采购部</w:t>
      </w:r>
    </w:p>
    <w:p w14:paraId="3C3C28A5">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管控部</w:t>
      </w:r>
    </w:p>
    <w:p w14:paraId="2CE606CF">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综合办公室</w:t>
      </w:r>
    </w:p>
    <w:p w14:paraId="1C160A61">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leftChars="0" w:hanging="420" w:firstLineChars="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勘察测绘院</w:t>
      </w:r>
    </w:p>
    <w:p w14:paraId="29D170F0">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leftChars="0" w:hanging="420" w:firstLineChars="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人工智能部</w:t>
      </w:r>
    </w:p>
    <w:p w14:paraId="06832F6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168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平台运维组</w:t>
      </w:r>
    </w:p>
    <w:p w14:paraId="2BDE7D32">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210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服务台</w:t>
      </w:r>
    </w:p>
    <w:p w14:paraId="7A0F6777">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210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备件库</w:t>
      </w:r>
    </w:p>
    <w:p w14:paraId="682FF6E9">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210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服务知识</w:t>
      </w:r>
    </w:p>
    <w:p w14:paraId="614C17A9">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1680" w:leftChars="0" w:hanging="42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研发组</w:t>
      </w:r>
    </w:p>
    <w:p w14:paraId="6AF93FBF">
      <w:pPr>
        <w:pStyle w:val="2"/>
        <w:keepNext w:val="0"/>
        <w:keepLines w:val="0"/>
        <w:pageBreakBefore w:val="0"/>
        <w:widowControl w:val="0"/>
        <w:wordWrap/>
        <w:overflowPunct/>
        <w:topLinePunct w:val="0"/>
        <w:bidi w:val="0"/>
        <w:rPr>
          <w:rFonts w:hint="default"/>
          <w:lang w:val="en-US" w:eastAsia="zh-CN"/>
        </w:rPr>
      </w:pPr>
    </w:p>
    <w:p w14:paraId="29CA68B2">
      <w:pPr>
        <w:keepNext w:val="0"/>
        <w:keepLines w:val="0"/>
        <w:pageBreakBefore w:val="0"/>
        <w:widowControl w:val="0"/>
        <w:wordWrap/>
        <w:overflowPunct/>
        <w:topLinePunct w:val="0"/>
        <w:bidi w:val="0"/>
        <w:rPr>
          <w:rFonts w:hint="default"/>
          <w:lang w:val="en-US" w:eastAsia="zh-CN"/>
        </w:rPr>
      </w:pPr>
      <w:bookmarkStart w:id="14" w:name="_GoBack"/>
      <w:r>
        <w:rPr>
          <w:rFonts w:hint="default"/>
          <w:lang w:val="en-US" w:eastAsia="zh-CN"/>
        </w:rPr>
        <w:object>
          <v:shape id="_x0000_i1025" o:spt="75" alt="" type="#_x0000_t75" style="height:294pt;width:455.95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bookmarkEnd w:id="14"/>
    </w:p>
    <w:p w14:paraId="6DB9545A">
      <w:pPr>
        <w:pStyle w:val="28"/>
        <w:keepNext w:val="0"/>
        <w:keepLines w:val="0"/>
        <w:pageBreakBefore w:val="0"/>
        <w:widowControl w:val="0"/>
        <w:wordWrap/>
        <w:overflowPunct/>
        <w:topLinePunct w:val="0"/>
        <w:bidi w:val="0"/>
      </w:pPr>
      <w:bookmarkStart w:id="3" w:name="_Toc9799"/>
      <w:r>
        <w:t>部门设定及岗位职责</w:t>
      </w:r>
      <w:bookmarkEnd w:id="3"/>
    </w:p>
    <w:p w14:paraId="407D94B0">
      <w:pPr>
        <w:pStyle w:val="30"/>
        <w:keepNext w:val="0"/>
        <w:keepLines w:val="0"/>
        <w:pageBreakBefore w:val="0"/>
        <w:widowControl w:val="0"/>
        <w:wordWrap/>
        <w:overflowPunct/>
        <w:topLinePunct w:val="0"/>
        <w:bidi w:val="0"/>
        <w:rPr>
          <w:rFonts w:hint="default"/>
          <w:lang w:val="en-US" w:eastAsia="zh-CN"/>
        </w:rPr>
      </w:pPr>
      <w:bookmarkStart w:id="4" w:name="_Toc5763"/>
      <w:r>
        <w:rPr>
          <w:rFonts w:hint="eastAsia"/>
          <w:lang w:val="en-US" w:eastAsia="zh-CN"/>
        </w:rPr>
        <w:t>概述</w:t>
      </w:r>
      <w:bookmarkEnd w:id="4"/>
    </w:p>
    <w:p w14:paraId="505DC405">
      <w:pPr>
        <w:pStyle w:val="29"/>
        <w:rPr>
          <w:rFonts w:hint="default"/>
          <w:lang w:val="en-US" w:eastAsia="zh-CN"/>
        </w:rPr>
      </w:pPr>
      <w:r>
        <w:rPr>
          <w:rFonts w:hint="default"/>
          <w:lang w:val="en-US" w:eastAsia="zh-CN"/>
        </w:rPr>
        <w:t>青岛瑞源工程集团有限公司成立于1997年，以建筑工程业务为立业之本。伴随软件行业的蓬勃发展及公司业务的战略拓展，我们已成功转型为一家集工程总承包、勘察测绘、地理信息、软件开发与系统运维于一体的综合型创新企业。</w:t>
      </w:r>
    </w:p>
    <w:p w14:paraId="52AA9543">
      <w:pPr>
        <w:pStyle w:val="29"/>
        <w:rPr>
          <w:rFonts w:hint="default"/>
          <w:lang w:val="en-US" w:eastAsia="zh-CN"/>
        </w:rPr>
      </w:pPr>
      <w:r>
        <w:rPr>
          <w:rFonts w:hint="default"/>
          <w:lang w:val="en-US" w:eastAsia="zh-CN"/>
        </w:rPr>
        <w:t>在公司坚实的运维体系基础上，为积极响应智能化发展趋势，我们对组织架构进行了战略性调整</w:t>
      </w:r>
      <w:r>
        <w:rPr>
          <w:rFonts w:hint="eastAsia"/>
          <w:lang w:val="en-US" w:eastAsia="zh-CN"/>
        </w:rPr>
        <w:t>，决定在</w:t>
      </w:r>
      <w:r>
        <w:rPr>
          <w:rFonts w:hint="default"/>
          <w:lang w:val="en-US" w:eastAsia="zh-CN"/>
        </w:rPr>
        <w:t>传统优势部门勘察测绘院</w:t>
      </w:r>
      <w:r>
        <w:rPr>
          <w:rFonts w:hint="eastAsia"/>
          <w:lang w:val="en-US" w:eastAsia="zh-CN"/>
        </w:rPr>
        <w:t>下设立人工智能部。</w:t>
      </w:r>
      <w:r>
        <w:rPr>
          <w:rFonts w:hint="default"/>
          <w:lang w:val="en-US" w:eastAsia="zh-CN"/>
        </w:rPr>
        <w:t>该部门的成立标志着瑞源集团从“工程建造”向“</w:t>
      </w:r>
      <w:r>
        <w:rPr>
          <w:rFonts w:hint="eastAsia"/>
          <w:lang w:val="en-US" w:eastAsia="zh-CN"/>
        </w:rPr>
        <w:t>运维服务</w:t>
      </w:r>
      <w:r>
        <w:rPr>
          <w:rFonts w:hint="default"/>
          <w:lang w:val="en-US" w:eastAsia="zh-CN"/>
        </w:rPr>
        <w:t>”迈出了关键一步。</w:t>
      </w:r>
    </w:p>
    <w:p w14:paraId="4ABD9ED3">
      <w:pPr>
        <w:pStyle w:val="29"/>
        <w:rPr>
          <w:rFonts w:hint="default"/>
          <w:lang w:val="en-US" w:eastAsia="zh-CN"/>
        </w:rPr>
      </w:pPr>
      <w:r>
        <w:rPr>
          <w:rFonts w:hint="default"/>
          <w:lang w:val="en-US" w:eastAsia="zh-CN"/>
        </w:rPr>
        <w:t>人工智能部作为勘察测绘院旗下的核心技术引擎，下设两个专业职能组：</w:t>
      </w:r>
    </w:p>
    <w:p w14:paraId="3904171D">
      <w:pPr>
        <w:pStyle w:val="29"/>
        <w:rPr>
          <w:rFonts w:hint="default"/>
          <w:lang w:val="en-US" w:eastAsia="zh-CN"/>
        </w:rPr>
      </w:pPr>
      <w:r>
        <w:rPr>
          <w:rFonts w:hint="default"/>
          <w:lang w:val="en-US" w:eastAsia="zh-CN"/>
        </w:rPr>
        <w:t>研发组：专注于计算机视觉、</w:t>
      </w:r>
      <w:r>
        <w:rPr>
          <w:rFonts w:hint="eastAsia"/>
          <w:lang w:val="en-US" w:eastAsia="zh-CN"/>
        </w:rPr>
        <w:t>智慧农业和智慧城市</w:t>
      </w:r>
      <w:r>
        <w:rPr>
          <w:rFonts w:hint="default"/>
          <w:lang w:val="en-US" w:eastAsia="zh-CN"/>
        </w:rPr>
        <w:t>等核心算法的研究与产品化开发，致力于将AI技术深度应用于工程勘察、灾害监测、智慧城市等领域。</w:t>
      </w:r>
    </w:p>
    <w:p w14:paraId="6B1596DF">
      <w:pPr>
        <w:pStyle w:val="29"/>
        <w:rPr>
          <w:rFonts w:hint="default"/>
          <w:lang w:val="en-US" w:eastAsia="zh-CN"/>
        </w:rPr>
      </w:pPr>
      <w:r>
        <w:rPr>
          <w:rFonts w:hint="default"/>
          <w:lang w:val="en-US" w:eastAsia="zh-CN"/>
        </w:rPr>
        <w:t>平台运维组：负责公司自主开发的各类AI平台与智慧系统的部署、监控、维护与性能优化，确保其稳定、高效运行，并为前线业务与项目管理提供可靠的技术支撑。</w:t>
      </w:r>
    </w:p>
    <w:p w14:paraId="0CD7C099">
      <w:pPr>
        <w:pStyle w:val="29"/>
        <w:rPr>
          <w:rFonts w:hint="default"/>
          <w:lang w:val="en-US" w:eastAsia="zh-CN"/>
        </w:rPr>
      </w:pPr>
    </w:p>
    <w:p w14:paraId="3DAA3754">
      <w:pPr>
        <w:pStyle w:val="29"/>
        <w:rPr>
          <w:rFonts w:hint="default"/>
          <w:lang w:val="en-US" w:eastAsia="zh-CN"/>
        </w:rPr>
      </w:pPr>
      <w:r>
        <w:rPr>
          <w:rFonts w:hint="default"/>
          <w:lang w:val="en-US" w:eastAsia="zh-CN"/>
        </w:rPr>
        <w:t>运维体系</w:t>
      </w:r>
      <w:r>
        <w:rPr>
          <w:rFonts w:hint="eastAsia"/>
          <w:lang w:val="en-US" w:eastAsia="zh-CN"/>
        </w:rPr>
        <w:t>构建完成，由五</w:t>
      </w:r>
      <w:r>
        <w:rPr>
          <w:rFonts w:hint="default"/>
          <w:lang w:val="en-US" w:eastAsia="zh-CN"/>
        </w:rPr>
        <w:t>大职能部门协同构成：</w:t>
      </w:r>
    </w:p>
    <w:p w14:paraId="75980E9C">
      <w:pPr>
        <w:pStyle w:val="29"/>
        <w:numPr>
          <w:ilvl w:val="0"/>
          <w:numId w:val="8"/>
        </w:numPr>
        <w:ind w:left="425" w:leftChars="0" w:hanging="425" w:firstLineChars="0"/>
        <w:rPr>
          <w:rFonts w:hint="default"/>
          <w:lang w:val="en-US" w:eastAsia="zh-CN"/>
        </w:rPr>
      </w:pPr>
      <w:r>
        <w:rPr>
          <w:rFonts w:hint="default"/>
          <w:lang w:val="en-US" w:eastAsia="zh-CN"/>
        </w:rPr>
        <w:t>管控部作为运维体系的</w:t>
      </w:r>
      <w:r>
        <w:rPr>
          <w:rFonts w:hint="eastAsia"/>
          <w:lang w:val="en-US" w:eastAsia="zh-CN"/>
        </w:rPr>
        <w:t>质量监管</w:t>
      </w:r>
      <w:r>
        <w:rPr>
          <w:rFonts w:hint="default"/>
          <w:lang w:val="en-US" w:eastAsia="zh-CN"/>
        </w:rPr>
        <w:t>中心，负责整体规划、流程监督与资源</w:t>
      </w:r>
      <w:r>
        <w:rPr>
          <w:rFonts w:hint="eastAsia"/>
          <w:lang w:val="en-US" w:eastAsia="zh-CN"/>
        </w:rPr>
        <w:t>监督</w:t>
      </w:r>
      <w:r>
        <w:rPr>
          <w:rFonts w:hint="default"/>
          <w:lang w:val="en-US" w:eastAsia="zh-CN"/>
        </w:rPr>
        <w:t>；</w:t>
      </w:r>
    </w:p>
    <w:p w14:paraId="08ABD1B5">
      <w:pPr>
        <w:pStyle w:val="29"/>
        <w:numPr>
          <w:ilvl w:val="0"/>
          <w:numId w:val="8"/>
        </w:numPr>
        <w:ind w:left="425" w:leftChars="0" w:hanging="425" w:firstLineChars="0"/>
        <w:rPr>
          <w:rFonts w:hint="default"/>
          <w:lang w:val="en-US" w:eastAsia="zh-CN"/>
        </w:rPr>
      </w:pPr>
      <w:r>
        <w:rPr>
          <w:rFonts w:hint="default"/>
          <w:lang w:val="en-US" w:eastAsia="zh-CN"/>
        </w:rPr>
        <w:t>采购部作为资源保障的后盾，确保所有软硬件及备件的稳定供应；</w:t>
      </w:r>
    </w:p>
    <w:p w14:paraId="374F7A3A">
      <w:pPr>
        <w:pStyle w:val="29"/>
        <w:numPr>
          <w:ilvl w:val="0"/>
          <w:numId w:val="8"/>
        </w:numPr>
        <w:ind w:left="425" w:leftChars="0" w:hanging="425" w:firstLineChars="0"/>
        <w:rPr>
          <w:rFonts w:hint="default"/>
          <w:lang w:val="en-US" w:eastAsia="zh-CN"/>
        </w:rPr>
      </w:pPr>
      <w:r>
        <w:rPr>
          <w:rFonts w:hint="default"/>
          <w:lang w:val="en-US" w:eastAsia="zh-CN"/>
        </w:rPr>
        <w:t>综合办公室作为行政与协调的中枢，提供全面的人力与后勤支持；</w:t>
      </w:r>
    </w:p>
    <w:p w14:paraId="4D50B54F">
      <w:pPr>
        <w:pStyle w:val="29"/>
        <w:numPr>
          <w:ilvl w:val="0"/>
          <w:numId w:val="8"/>
        </w:numPr>
        <w:ind w:left="425" w:leftChars="0" w:hanging="425" w:firstLineChars="0"/>
        <w:rPr>
          <w:rFonts w:hint="default"/>
          <w:lang w:val="en-US" w:eastAsia="zh-CN"/>
        </w:rPr>
      </w:pPr>
      <w:r>
        <w:rPr>
          <w:rFonts w:hint="default"/>
          <w:lang w:val="en-US" w:eastAsia="zh-CN"/>
        </w:rPr>
        <w:t>应急管理办公室则专职应对突发事件，确保服务的连续性与可靠性。</w:t>
      </w:r>
    </w:p>
    <w:p w14:paraId="44E38510">
      <w:pPr>
        <w:pStyle w:val="29"/>
        <w:numPr>
          <w:ilvl w:val="0"/>
          <w:numId w:val="8"/>
        </w:numPr>
        <w:ind w:left="425" w:leftChars="0" w:hanging="425" w:firstLineChars="0"/>
        <w:rPr>
          <w:rFonts w:hint="default"/>
          <w:lang w:val="en-US" w:eastAsia="zh-CN"/>
        </w:rPr>
      </w:pPr>
      <w:r>
        <w:rPr>
          <w:rFonts w:hint="default"/>
          <w:lang w:val="en-US" w:eastAsia="zh-CN"/>
        </w:rPr>
        <w:t>人工智能部作为技术研发与智能运维的双重引擎，专注于AI算法的创新开发并负责公司各类智慧平台的部署、监控、维护与持续优化，推动运维工作向自动化、智能化转型升级。</w:t>
      </w:r>
    </w:p>
    <w:p w14:paraId="5E543C4F">
      <w:pPr>
        <w:pStyle w:val="29"/>
        <w:rPr>
          <w:rFonts w:hint="default"/>
          <w:lang w:val="en-US" w:eastAsia="zh-CN"/>
        </w:rPr>
      </w:pPr>
      <w:r>
        <w:rPr>
          <w:rFonts w:hint="default"/>
          <w:lang w:val="en-US" w:eastAsia="zh-CN"/>
        </w:rPr>
        <w:t>至此，公司形成了管理层统筹规划、应急管理办公室牵头应急响应、</w:t>
      </w:r>
      <w:r>
        <w:rPr>
          <w:rFonts w:hint="eastAsia"/>
          <w:lang w:val="en-US" w:eastAsia="zh-CN"/>
        </w:rPr>
        <w:t>人工智能部</w:t>
      </w:r>
      <w:r>
        <w:rPr>
          <w:rFonts w:hint="default"/>
          <w:lang w:val="en-US" w:eastAsia="zh-CN"/>
        </w:rPr>
        <w:t>驱动技术创新的运维与研发体系。这一清晰的组织架构，充分体现了瑞源集团在坚守工程本业的同时，积极拥抱科技变革，通过“工程+AI”的深度融合，构建核心竞争力，并持续推行责、权、利相结合的目标管理体制，确保公司在数字化转型的道路上行稳致远。</w:t>
      </w:r>
    </w:p>
    <w:p w14:paraId="27F8A8DE">
      <w:pPr>
        <w:pStyle w:val="30"/>
        <w:keepNext w:val="0"/>
        <w:keepLines w:val="0"/>
        <w:pageBreakBefore w:val="0"/>
        <w:widowControl w:val="0"/>
        <w:wordWrap/>
        <w:overflowPunct/>
        <w:topLinePunct w:val="0"/>
        <w:bidi w:val="0"/>
        <w:rPr>
          <w:rFonts w:ascii="黑体" w:hAnsi="黑体" w:eastAsia="黑体" w:cs="黑体"/>
          <w:sz w:val="24"/>
          <w:szCs w:val="24"/>
        </w:rPr>
      </w:pPr>
      <w:bookmarkStart w:id="5" w:name="_Toc8645"/>
      <w:r>
        <w:rPr>
          <w:rFonts w:hint="eastAsia" w:ascii="黑体" w:hAnsi="黑体" w:eastAsia="黑体" w:cs="黑体"/>
          <w:spacing w:val="-2"/>
          <w:sz w:val="24"/>
          <w:szCs w:val="24"/>
          <w:lang w:val="en-US" w:eastAsia="zh-CN"/>
        </w:rPr>
        <w:t>岗位职责说明</w:t>
      </w:r>
      <w:bookmarkEnd w:id="5"/>
    </w:p>
    <w:p w14:paraId="1A3BDF0D">
      <w:pPr>
        <w:pStyle w:val="31"/>
        <w:keepNext w:val="0"/>
        <w:keepLines w:val="0"/>
        <w:pageBreakBefore w:val="0"/>
        <w:widowControl w:val="0"/>
        <w:wordWrap/>
        <w:overflowPunct/>
        <w:topLinePunct w:val="0"/>
        <w:bidi w:val="0"/>
      </w:pPr>
      <w:bookmarkStart w:id="6" w:name="_Toc3347"/>
      <w:r>
        <w:t>总经理</w:t>
      </w:r>
      <w:bookmarkEnd w:id="6"/>
    </w:p>
    <w:p w14:paraId="7AA57942">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执行董事会决议，主持全面的经营及管理工作；</w:t>
      </w:r>
    </w:p>
    <w:p w14:paraId="327F6705">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制定年度经营管理计划，保证经营管理</w:t>
      </w:r>
      <w:r>
        <w:rPr>
          <w:rFonts w:ascii="宋体" w:hAnsi="宋体" w:eastAsia="宋体" w:cs="宋体"/>
          <w:spacing w:val="-1"/>
          <w:sz w:val="24"/>
          <w:szCs w:val="24"/>
        </w:rPr>
        <w:t>目标的实现，保障经营体系的安</w:t>
      </w:r>
      <w:r>
        <w:rPr>
          <w:rFonts w:ascii="宋体" w:hAnsi="宋体" w:eastAsia="宋体" w:cs="宋体"/>
          <w:spacing w:val="-3"/>
          <w:sz w:val="24"/>
          <w:szCs w:val="24"/>
        </w:rPr>
        <w:t>全高效；</w:t>
      </w:r>
    </w:p>
    <w:p w14:paraId="201A875D">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负责运维服务方针、目标、质量指标的审批；</w:t>
      </w:r>
    </w:p>
    <w:p w14:paraId="6D744A71">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对建立、实施和保持符合标准的体系负最高责任</w:t>
      </w:r>
      <w:r>
        <w:rPr>
          <w:rFonts w:ascii="宋体" w:hAnsi="宋体" w:eastAsia="宋体" w:cs="宋体"/>
          <w:spacing w:val="-1"/>
          <w:sz w:val="24"/>
          <w:szCs w:val="24"/>
        </w:rPr>
        <w:t>，负责所有体系正式版</w:t>
      </w:r>
      <w:r>
        <w:rPr>
          <w:rFonts w:ascii="宋体" w:hAnsi="宋体" w:eastAsia="宋体" w:cs="宋体"/>
          <w:spacing w:val="-2"/>
          <w:sz w:val="24"/>
          <w:szCs w:val="24"/>
        </w:rPr>
        <w:t>本文件的发布批准；</w:t>
      </w:r>
    </w:p>
    <w:p w14:paraId="68808EF1">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组织实施经批准的公司工作计划和财务预算及利润分配、使用方案；</w:t>
      </w:r>
    </w:p>
    <w:p w14:paraId="66ADE2D2">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组织领导公司日常经营管理工作，代表法</w:t>
      </w:r>
      <w:r>
        <w:rPr>
          <w:rFonts w:ascii="宋体" w:hAnsi="宋体" w:eastAsia="宋体" w:cs="宋体"/>
          <w:spacing w:val="-1"/>
          <w:sz w:val="24"/>
          <w:szCs w:val="24"/>
        </w:rPr>
        <w:t>人代表签署有关协议、合同和</w:t>
      </w:r>
      <w:r>
        <w:rPr>
          <w:rFonts w:ascii="宋体" w:hAnsi="宋体" w:eastAsia="宋体" w:cs="宋体"/>
          <w:spacing w:val="-3"/>
          <w:sz w:val="24"/>
          <w:szCs w:val="24"/>
        </w:rPr>
        <w:t>处理相关事宜；</w:t>
      </w:r>
    </w:p>
    <w:p w14:paraId="21CB90AD">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5"/>
          <w:sz w:val="24"/>
          <w:szCs w:val="24"/>
        </w:rPr>
        <w:t>负责召集和主持总经理办公会议，检查、协调、监督各项业务工作进展，</w:t>
      </w:r>
      <w:r>
        <w:rPr>
          <w:rFonts w:ascii="宋体" w:hAnsi="宋体" w:eastAsia="宋体" w:cs="宋体"/>
          <w:spacing w:val="-1"/>
          <w:sz w:val="24"/>
          <w:szCs w:val="24"/>
        </w:rPr>
        <w:t>重要会议纪要以书面形式上报集团董事会；</w:t>
      </w:r>
    </w:p>
    <w:p w14:paraId="2F421FCF">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保障各项规章制度的严格实施，决定公司人事编制、人事任免、薪酬、</w:t>
      </w:r>
      <w:r>
        <w:rPr>
          <w:rFonts w:ascii="宋体" w:hAnsi="宋体" w:eastAsia="宋体" w:cs="宋体"/>
          <w:spacing w:val="-4"/>
          <w:sz w:val="24"/>
          <w:szCs w:val="24"/>
        </w:rPr>
        <w:t>奖罚；</w:t>
      </w:r>
    </w:p>
    <w:p w14:paraId="263195CF">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签署日常行政、业务文件，对单据进行审批；</w:t>
      </w:r>
    </w:p>
    <w:p w14:paraId="72A05ED0">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加强公司团队建设和企业文化建设，树立公司良好的社会形象。</w:t>
      </w:r>
    </w:p>
    <w:p w14:paraId="7C13C140">
      <w:pPr>
        <w:pStyle w:val="31"/>
        <w:keepNext w:val="0"/>
        <w:keepLines w:val="0"/>
        <w:pageBreakBefore w:val="0"/>
        <w:widowControl w:val="0"/>
        <w:wordWrap/>
        <w:overflowPunct/>
        <w:topLinePunct w:val="0"/>
        <w:bidi w:val="0"/>
      </w:pPr>
      <w:bookmarkStart w:id="7" w:name="_Toc279"/>
      <w:r>
        <w:rPr>
          <w:rFonts w:hint="eastAsia"/>
          <w:lang w:val="en-US" w:eastAsia="zh-CN"/>
        </w:rPr>
        <w:t>副总经理</w:t>
      </w:r>
      <w:bookmarkEnd w:id="7"/>
    </w:p>
    <w:p w14:paraId="2E09CE46">
      <w:pPr>
        <w:pStyle w:val="40"/>
        <w:numPr>
          <w:ilvl w:val="0"/>
          <w:numId w:val="10"/>
        </w:numPr>
        <w:bidi w:val="0"/>
        <w:rPr>
          <w:rFonts w:hint="eastAsia"/>
        </w:rPr>
      </w:pPr>
      <w:r>
        <w:rPr>
          <w:rFonts w:hint="eastAsia"/>
        </w:rPr>
        <w:t>负责市场拓展与技术研究：组织IT维护业务的市场开拓与新技术的跟踪、研究与引入。</w:t>
      </w:r>
    </w:p>
    <w:p w14:paraId="61032FD2">
      <w:pPr>
        <w:pStyle w:val="40"/>
        <w:numPr>
          <w:ilvl w:val="0"/>
          <w:numId w:val="10"/>
        </w:numPr>
        <w:bidi w:val="0"/>
        <w:rPr>
          <w:rFonts w:hint="eastAsia"/>
        </w:rPr>
      </w:pPr>
      <w:r>
        <w:rPr>
          <w:rFonts w:hint="eastAsia"/>
        </w:rPr>
        <w:t>负责</w:t>
      </w:r>
      <w:r>
        <w:rPr>
          <w:rFonts w:hint="eastAsia"/>
          <w:lang w:val="en-US" w:eastAsia="zh-CN"/>
        </w:rPr>
        <w:t>运维</w:t>
      </w:r>
      <w:r>
        <w:rPr>
          <w:rFonts w:hint="eastAsia"/>
        </w:rPr>
        <w:t>项目全生命周期管理：全面负责部门承接业务的计划制定、项目调度、运行监控及过程管理。</w:t>
      </w:r>
    </w:p>
    <w:p w14:paraId="259D9B74">
      <w:pPr>
        <w:pStyle w:val="40"/>
        <w:numPr>
          <w:ilvl w:val="0"/>
          <w:numId w:val="10"/>
        </w:numPr>
        <w:bidi w:val="0"/>
        <w:rPr>
          <w:rFonts w:hint="eastAsia"/>
        </w:rPr>
      </w:pPr>
      <w:r>
        <w:rPr>
          <w:rFonts w:hint="eastAsia"/>
        </w:rPr>
        <w:t>负责部门绩效与团队建设：组织实施部门员工的绩效考核、转正定岗、岗位竞聘等考评工作。</w:t>
      </w:r>
    </w:p>
    <w:p w14:paraId="49377B86">
      <w:pPr>
        <w:pStyle w:val="40"/>
        <w:numPr>
          <w:ilvl w:val="0"/>
          <w:numId w:val="10"/>
        </w:numPr>
        <w:bidi w:val="0"/>
        <w:rPr>
          <w:rFonts w:hint="eastAsia"/>
        </w:rPr>
      </w:pPr>
      <w:r>
        <w:rPr>
          <w:rFonts w:hint="eastAsia"/>
        </w:rPr>
        <w:t>负责服务目录管理：定期组织服务目录的评审与更新，确保其完整性、准确性与业务适用性。</w:t>
      </w:r>
    </w:p>
    <w:p w14:paraId="70E8A99C">
      <w:pPr>
        <w:pStyle w:val="40"/>
        <w:numPr>
          <w:ilvl w:val="0"/>
          <w:numId w:val="10"/>
        </w:numPr>
        <w:bidi w:val="0"/>
        <w:rPr>
          <w:rFonts w:hint="eastAsia"/>
        </w:rPr>
      </w:pPr>
      <w:r>
        <w:rPr>
          <w:rFonts w:hint="eastAsia"/>
        </w:rPr>
        <w:t>负责内外部协调与沟通：主导本部门与公司其他部门、以及外部客户之间的工作协调、对接与关系维护。</w:t>
      </w:r>
    </w:p>
    <w:p w14:paraId="32F115D9">
      <w:pPr>
        <w:pStyle w:val="40"/>
        <w:numPr>
          <w:ilvl w:val="0"/>
          <w:numId w:val="10"/>
        </w:numPr>
        <w:bidi w:val="0"/>
        <w:rPr>
          <w:rFonts w:hint="eastAsia"/>
        </w:rPr>
      </w:pPr>
      <w:r>
        <w:rPr>
          <w:rFonts w:hint="eastAsia"/>
          <w:lang w:val="en-US" w:eastAsia="zh-CN"/>
        </w:rPr>
        <w:t>负责过程管理、资源管理各制度的审核和指标完成情况跟踪</w:t>
      </w:r>
    </w:p>
    <w:p w14:paraId="05A601BB">
      <w:pPr>
        <w:pStyle w:val="40"/>
        <w:numPr>
          <w:ilvl w:val="0"/>
          <w:numId w:val="10"/>
        </w:numPr>
        <w:bidi w:val="0"/>
        <w:rPr>
          <w:rFonts w:hint="eastAsia"/>
        </w:rPr>
      </w:pPr>
      <w:r>
        <w:rPr>
          <w:rFonts w:hint="eastAsia"/>
        </w:rPr>
        <w:t>支持业务招投标：协助其他业务部门进行招投标文件的研发组分编制与答疑。</w:t>
      </w:r>
    </w:p>
    <w:p w14:paraId="11CD7BBF">
      <w:pPr>
        <w:pStyle w:val="40"/>
        <w:numPr>
          <w:ilvl w:val="0"/>
          <w:numId w:val="10"/>
        </w:numPr>
        <w:bidi w:val="0"/>
        <w:rPr>
          <w:rFonts w:hint="eastAsia"/>
        </w:rPr>
      </w:pPr>
      <w:r>
        <w:rPr>
          <w:rFonts w:hint="eastAsia"/>
        </w:rPr>
        <w:t>负责资产与安全管理：监督管理本部门保管的固定资产的日常保养，并督促检查部门安全项目的落实。</w:t>
      </w:r>
    </w:p>
    <w:p w14:paraId="24FA2922">
      <w:pPr>
        <w:pStyle w:val="40"/>
        <w:numPr>
          <w:ilvl w:val="0"/>
          <w:numId w:val="10"/>
        </w:numPr>
        <w:bidi w:val="0"/>
        <w:rPr>
          <w:rFonts w:hint="eastAsia"/>
        </w:rPr>
      </w:pPr>
      <w:r>
        <w:rPr>
          <w:rFonts w:hint="eastAsia"/>
        </w:rPr>
        <w:t>负责综合行政与报表：负责部门各类项目报表的填报与提交工作。</w:t>
      </w:r>
    </w:p>
    <w:p w14:paraId="3B8E8616">
      <w:pPr>
        <w:pStyle w:val="40"/>
        <w:numPr>
          <w:ilvl w:val="0"/>
          <w:numId w:val="10"/>
        </w:numPr>
        <w:bidi w:val="0"/>
        <w:rPr>
          <w:rFonts w:hint="eastAsia"/>
          <w:lang w:val="en-US" w:eastAsia="zh-CN"/>
        </w:rPr>
      </w:pPr>
      <w:r>
        <w:rPr>
          <w:rFonts w:hint="eastAsia"/>
          <w:lang w:val="en-US" w:eastAsia="zh-CN"/>
        </w:rPr>
        <w:t>负责交付制度建设：交付制度审核、完善，总体协调项目交付进度，进行规划</w:t>
      </w:r>
    </w:p>
    <w:p w14:paraId="0C08315E">
      <w:pPr>
        <w:pStyle w:val="40"/>
        <w:numPr>
          <w:ilvl w:val="0"/>
          <w:numId w:val="10"/>
        </w:numPr>
        <w:bidi w:val="0"/>
        <w:rPr>
          <w:rFonts w:hint="default"/>
          <w:lang w:val="en-US" w:eastAsia="zh-CN"/>
        </w:rPr>
      </w:pPr>
      <w:r>
        <w:rPr>
          <w:rFonts w:hint="eastAsia"/>
          <w:lang w:val="en-US" w:eastAsia="zh-CN"/>
        </w:rPr>
        <w:t>应急方案建设：总体筹划项目应急计划、预案、实施，应急报告审核</w:t>
      </w:r>
    </w:p>
    <w:p w14:paraId="3C47E772">
      <w:pPr>
        <w:pStyle w:val="40"/>
        <w:numPr>
          <w:ilvl w:val="0"/>
          <w:numId w:val="10"/>
        </w:numPr>
        <w:bidi w:val="0"/>
      </w:pPr>
      <w:r>
        <w:rPr>
          <w:rFonts w:hint="eastAsia"/>
        </w:rPr>
        <w:t>完成上级交办及其他协作任务：高效完成上级领导交办及其他部门提请协办的重要事项</w:t>
      </w:r>
    </w:p>
    <w:p w14:paraId="68B23990">
      <w:pPr>
        <w:pStyle w:val="31"/>
        <w:keepNext w:val="0"/>
        <w:keepLines w:val="0"/>
        <w:pageBreakBefore w:val="0"/>
        <w:widowControl w:val="0"/>
        <w:wordWrap/>
        <w:overflowPunct/>
        <w:topLinePunct w:val="0"/>
        <w:bidi w:val="0"/>
      </w:pPr>
      <w:bookmarkStart w:id="8" w:name="_Toc11182"/>
      <w:r>
        <w:t>管理者代表</w:t>
      </w:r>
      <w:bookmarkEnd w:id="8"/>
    </w:p>
    <w:p w14:paraId="47ACE3E1">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pPr>
      <w:r>
        <w:rPr>
          <w:rFonts w:ascii="宋体" w:hAnsi="宋体" w:eastAsia="宋体" w:cs="宋体"/>
          <w:spacing w:val="-2"/>
          <w:sz w:val="24"/>
          <w:szCs w:val="24"/>
        </w:rPr>
        <w:t>负责建立、实施、保持并持续改进管理体系；</w:t>
      </w:r>
    </w:p>
    <w:p w14:paraId="3D1B9263">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定期向总经理汇报管理体系的运行绩效和相关改进的需求，为管理体系</w:t>
      </w:r>
      <w:r>
        <w:rPr>
          <w:rFonts w:ascii="宋体" w:hAnsi="宋体" w:eastAsia="宋体" w:cs="宋体"/>
          <w:spacing w:val="-4"/>
          <w:sz w:val="24"/>
          <w:szCs w:val="24"/>
        </w:rPr>
        <w:t>的改进提供依据；</w:t>
      </w:r>
    </w:p>
    <w:p w14:paraId="626609E8">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协助总经理组织管理评审工作，提供相关的输入信息；</w:t>
      </w:r>
    </w:p>
    <w:p w14:paraId="4D42980D">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负责在全公司内提高满足</w:t>
      </w:r>
      <w:r>
        <w:rPr>
          <w:rFonts w:hint="eastAsia" w:ascii="宋体" w:hAnsi="宋体" w:cs="宋体"/>
          <w:spacing w:val="-1"/>
          <w:sz w:val="24"/>
          <w:szCs w:val="24"/>
          <w:lang w:val="en-US" w:eastAsia="zh-CN"/>
        </w:rPr>
        <w:t>客户</w:t>
      </w:r>
      <w:r>
        <w:rPr>
          <w:rFonts w:ascii="宋体" w:hAnsi="宋体" w:eastAsia="宋体" w:cs="宋体"/>
          <w:spacing w:val="-1"/>
          <w:sz w:val="24"/>
          <w:szCs w:val="24"/>
        </w:rPr>
        <w:t>要求的意识；</w:t>
      </w:r>
    </w:p>
    <w:p w14:paraId="0B452FD9">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负责与管理体系有关事宜的外部联络；</w:t>
      </w:r>
    </w:p>
    <w:p w14:paraId="3D81FEF7">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具体策划内部及外部质量审核；</w:t>
      </w:r>
    </w:p>
    <w:p w14:paraId="4BE9367D">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制定服务的管理制度和绩效考核指标;</w:t>
      </w:r>
    </w:p>
    <w:p w14:paraId="4C1BEAB6">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建立和完善服务组组织架构、管理流程和规范</w:t>
      </w:r>
      <w:r>
        <w:rPr>
          <w:rFonts w:hint="eastAsia" w:ascii="宋体" w:hAnsi="宋体" w:eastAsia="宋体" w:cs="宋体"/>
          <w:sz w:val="24"/>
          <w:szCs w:val="24"/>
          <w:lang w:eastAsia="zh-CN"/>
        </w:rPr>
        <w:t>。</w:t>
      </w:r>
    </w:p>
    <w:p w14:paraId="78A70ABA">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负责交付预案、交付方案、交付计划等审批</w:t>
      </w:r>
    </w:p>
    <w:p w14:paraId="74F513E8">
      <w:pPr>
        <w:pStyle w:val="31"/>
        <w:keepNext w:val="0"/>
        <w:keepLines w:val="0"/>
        <w:pageBreakBefore w:val="0"/>
        <w:widowControl w:val="0"/>
        <w:wordWrap/>
        <w:overflowPunct/>
        <w:topLinePunct w:val="0"/>
        <w:bidi w:val="0"/>
      </w:pPr>
      <w:bookmarkStart w:id="9" w:name="_Toc24243"/>
      <w:r>
        <w:t>应急管理办公室</w:t>
      </w:r>
      <w:bookmarkEnd w:id="9"/>
    </w:p>
    <w:p w14:paraId="3FCB23F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4" w:firstLineChars="200"/>
        <w:textAlignment w:val="baseline"/>
        <w:rPr>
          <w:rFonts w:ascii="宋体" w:hAnsi="宋体" w:eastAsia="宋体" w:cs="宋体"/>
          <w:sz w:val="24"/>
          <w:szCs w:val="24"/>
        </w:rPr>
      </w:pPr>
      <w:r>
        <w:rPr>
          <w:rFonts w:ascii="宋体" w:hAnsi="宋体" w:eastAsia="宋体" w:cs="宋体"/>
          <w:spacing w:val="1"/>
          <w:sz w:val="24"/>
          <w:szCs w:val="24"/>
        </w:rPr>
        <w:t>建立由副总作为指挥小组组长，平台运维组经理作为工作小组组长，必要时</w:t>
      </w:r>
      <w:r>
        <w:rPr>
          <w:rFonts w:ascii="宋体" w:hAnsi="宋体" w:eastAsia="宋体" w:cs="宋体"/>
          <w:spacing w:val="-1"/>
          <w:sz w:val="24"/>
          <w:szCs w:val="24"/>
        </w:rPr>
        <w:t>其他部门负责人可作为应急组员共同处理应急响应事件。</w:t>
      </w:r>
    </w:p>
    <w:p w14:paraId="03EDA147">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主要负责执行重要客户单位的信息通信调度、监控、调度</w:t>
      </w:r>
      <w:r>
        <w:rPr>
          <w:rFonts w:ascii="宋体" w:hAnsi="宋体" w:eastAsia="宋体" w:cs="宋体"/>
          <w:spacing w:val="-3"/>
          <w:sz w:val="24"/>
          <w:szCs w:val="24"/>
        </w:rPr>
        <w:t>运行分析 与</w:t>
      </w:r>
      <w:r>
        <w:rPr>
          <w:rFonts w:ascii="宋体" w:hAnsi="宋体" w:eastAsia="宋体" w:cs="宋体"/>
          <w:spacing w:val="-4"/>
          <w:sz w:val="24"/>
          <w:szCs w:val="24"/>
        </w:rPr>
        <w:t>优化、报修管理、应急管理和资源管理等的有关规定及工作部署</w:t>
      </w:r>
      <w:r>
        <w:rPr>
          <w:rFonts w:ascii="宋体" w:hAnsi="宋体" w:eastAsia="宋体" w:cs="宋体"/>
          <w:spacing w:val="65"/>
          <w:sz w:val="24"/>
          <w:szCs w:val="24"/>
        </w:rPr>
        <w:t xml:space="preserve"> </w:t>
      </w:r>
      <w:r>
        <w:rPr>
          <w:rFonts w:ascii="宋体" w:hAnsi="宋体" w:eastAsia="宋体" w:cs="宋体"/>
          <w:spacing w:val="-4"/>
          <w:sz w:val="24"/>
          <w:szCs w:val="24"/>
        </w:rPr>
        <w:t>;</w:t>
      </w:r>
    </w:p>
    <w:p w14:paraId="064C2A34">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负责调管范围内信息通信系统调度与监控工作；</w:t>
      </w:r>
    </w:p>
    <w:p w14:paraId="3181B772">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负责制订定期应急调度计划表；</w:t>
      </w:r>
    </w:p>
    <w:p w14:paraId="6A0B19A2">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负责制定应急方案，开展应急预案演练与评估</w:t>
      </w:r>
      <w:r>
        <w:rPr>
          <w:rFonts w:ascii="宋体" w:hAnsi="宋体" w:eastAsia="宋体" w:cs="宋体"/>
          <w:spacing w:val="-1"/>
          <w:sz w:val="24"/>
          <w:szCs w:val="24"/>
        </w:rPr>
        <w:t>整改，指挥应急处置</w:t>
      </w:r>
      <w:r>
        <w:rPr>
          <w:rFonts w:ascii="宋体" w:hAnsi="宋体" w:eastAsia="宋体" w:cs="宋体"/>
          <w:spacing w:val="48"/>
          <w:sz w:val="24"/>
          <w:szCs w:val="24"/>
        </w:rPr>
        <w:t xml:space="preserve"> </w:t>
      </w:r>
      <w:r>
        <w:rPr>
          <w:rFonts w:ascii="宋体" w:hAnsi="宋体" w:eastAsia="宋体" w:cs="宋体"/>
          <w:spacing w:val="-1"/>
          <w:sz w:val="24"/>
          <w:szCs w:val="24"/>
        </w:rPr>
        <w:t>;</w:t>
      </w:r>
    </w:p>
    <w:p w14:paraId="61C905DC">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负责应急资源管理，申请、领用、归还等；</w:t>
      </w:r>
    </w:p>
    <w:p w14:paraId="2F38B63D">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负责对客户的应急事件输出应急响应服务报告，并进行修复报</w:t>
      </w:r>
      <w:r>
        <w:rPr>
          <w:rFonts w:ascii="宋体" w:hAnsi="宋体" w:eastAsia="宋体" w:cs="宋体"/>
          <w:spacing w:val="-3"/>
          <w:sz w:val="24"/>
          <w:szCs w:val="24"/>
        </w:rPr>
        <w:t>的指 导</w:t>
      </w:r>
      <w:r>
        <w:rPr>
          <w:rFonts w:ascii="宋体" w:hAnsi="宋体" w:eastAsia="宋体" w:cs="宋体"/>
          <w:spacing w:val="-5"/>
          <w:sz w:val="24"/>
          <w:szCs w:val="24"/>
        </w:rPr>
        <w:t>工作；</w:t>
      </w:r>
    </w:p>
    <w:p w14:paraId="0C82A5F1">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1"/>
          <w:sz w:val="24"/>
          <w:szCs w:val="24"/>
          <w:lang w:eastAsia="zh-CN"/>
        </w:rPr>
      </w:pPr>
      <w:r>
        <w:rPr>
          <w:rFonts w:ascii="宋体" w:hAnsi="宋体" w:eastAsia="宋体" w:cs="宋体"/>
          <w:spacing w:val="-1"/>
          <w:sz w:val="24"/>
          <w:szCs w:val="24"/>
        </w:rPr>
        <w:t>负责整体应急事件的生命周期管理，如受理，升级，关闭等</w:t>
      </w:r>
      <w:r>
        <w:rPr>
          <w:rFonts w:hint="eastAsia" w:ascii="宋体" w:hAnsi="宋体" w:eastAsia="宋体" w:cs="宋体"/>
          <w:spacing w:val="-1"/>
          <w:sz w:val="24"/>
          <w:szCs w:val="24"/>
          <w:lang w:eastAsia="zh-CN"/>
        </w:rPr>
        <w:t>。</w:t>
      </w:r>
    </w:p>
    <w:p w14:paraId="05B82A41">
      <w:pPr>
        <w:pStyle w:val="31"/>
        <w:keepNext w:val="0"/>
        <w:keepLines w:val="0"/>
        <w:pageBreakBefore w:val="0"/>
        <w:widowControl w:val="0"/>
        <w:wordWrap/>
        <w:overflowPunct/>
        <w:topLinePunct w:val="0"/>
        <w:bidi w:val="0"/>
      </w:pPr>
      <w:bookmarkStart w:id="10" w:name="_Toc6455"/>
      <w:r>
        <w:rPr>
          <w:rFonts w:hint="eastAsia"/>
          <w:lang w:val="en-US" w:eastAsia="zh-CN"/>
        </w:rPr>
        <w:t>人工智能部</w:t>
      </w:r>
      <w:bookmarkEnd w:id="10"/>
    </w:p>
    <w:p w14:paraId="5DCFA683">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全面负责本部门的日常管理工作，确保质量管理体系在本部门正常运行；</w:t>
      </w:r>
    </w:p>
    <w:p w14:paraId="03A16B28">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负责组织本公司运行维护服务项目的规划与实施；</w:t>
      </w:r>
    </w:p>
    <w:p w14:paraId="10F5A8A2">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负责组织本公司运行维护服务项目实施过程控制；</w:t>
      </w:r>
    </w:p>
    <w:p w14:paraId="290FE8AC">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会同公司有关部门，为员工提供必要的专业</w:t>
      </w:r>
      <w:r>
        <w:rPr>
          <w:rFonts w:ascii="宋体" w:hAnsi="宋体" w:eastAsia="宋体" w:cs="宋体"/>
          <w:spacing w:val="-1"/>
          <w:sz w:val="24"/>
          <w:szCs w:val="24"/>
        </w:rPr>
        <w:t>培训和继续教育机会；</w:t>
      </w:r>
    </w:p>
    <w:p w14:paraId="6D5A3F01">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4"/>
          <w:sz w:val="24"/>
          <w:szCs w:val="24"/>
          <w:lang w:val="en-US" w:eastAsia="zh-CN"/>
        </w:rPr>
        <w:t>就</w:t>
      </w:r>
      <w:r>
        <w:rPr>
          <w:rFonts w:ascii="宋体" w:hAnsi="宋体" w:eastAsia="宋体" w:cs="宋体"/>
          <w:spacing w:val="4"/>
          <w:sz w:val="24"/>
          <w:szCs w:val="24"/>
        </w:rPr>
        <w:t>公司与运维服务有关的监视测量设备的控制并实施产品/服务的监</w:t>
      </w:r>
      <w:r>
        <w:rPr>
          <w:rFonts w:ascii="宋体" w:hAnsi="宋体" w:eastAsia="宋体" w:cs="宋体"/>
          <w:spacing w:val="-6"/>
          <w:sz w:val="24"/>
          <w:szCs w:val="24"/>
        </w:rPr>
        <w:t>测；</w:t>
      </w:r>
    </w:p>
    <w:p w14:paraId="25E38334">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就运维服务项目发生的不合格品/服务进行评审及处置；</w:t>
      </w:r>
    </w:p>
    <w:p w14:paraId="54939DD0">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负责运维服务项目所用的设备、工具的管理，进行维护和保养；</w:t>
      </w:r>
    </w:p>
    <w:p w14:paraId="1C2C0672">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就日常工作与客户方进行顾客沟通；</w:t>
      </w:r>
    </w:p>
    <w:p w14:paraId="2C9AA191">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全面负责运维服务报告的相关管理工作；</w:t>
      </w:r>
    </w:p>
    <w:p w14:paraId="66F84C28">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全面负责运维服务事件管理、配置管理相关过程管理工作；</w:t>
      </w:r>
    </w:p>
    <w:p w14:paraId="7B2115E8">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负责运维服务变更管理、发布管理、安全管理相关过程管理工作；</w:t>
      </w:r>
    </w:p>
    <w:p w14:paraId="49FAFFC5">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负责管理、维护</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w:t>
      </w:r>
    </w:p>
    <w:p w14:paraId="0D0DC7C1">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负责公司组织级运维服务目录的建立，编制以及更新服务目录；</w:t>
      </w:r>
    </w:p>
    <w:p w14:paraId="2D7BB72F">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负责公司服务台的管理；</w:t>
      </w:r>
    </w:p>
    <w:p w14:paraId="0141CC4E">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负责客户满意度管理工作的规划与实施；</w:t>
      </w:r>
    </w:p>
    <w:p w14:paraId="40494E3A">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负责客户满意度调查管理与分析；</w:t>
      </w:r>
    </w:p>
    <w:p w14:paraId="634FB467">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负责客户回访与客户沟通统计分析、处理客户</w:t>
      </w:r>
      <w:r>
        <w:rPr>
          <w:rFonts w:ascii="宋体" w:hAnsi="宋体" w:eastAsia="宋体" w:cs="宋体"/>
          <w:spacing w:val="-2"/>
          <w:sz w:val="24"/>
          <w:szCs w:val="24"/>
        </w:rPr>
        <w:t>投诉；</w:t>
      </w:r>
    </w:p>
    <w:p w14:paraId="74A0254F">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负责项目交付方案的编制和审核；含交付的：例行操作、响应支持</w:t>
      </w:r>
      <w:r>
        <w:rPr>
          <w:rFonts w:hint="eastAsia" w:ascii="宋体" w:hAnsi="宋体" w:eastAsia="宋体" w:cs="宋体"/>
          <w:spacing w:val="-1"/>
          <w:sz w:val="24"/>
          <w:szCs w:val="24"/>
          <w:lang w:eastAsia="zh-CN"/>
        </w:rPr>
        <w:t>、</w:t>
      </w:r>
      <w:r>
        <w:rPr>
          <w:rFonts w:ascii="宋体" w:hAnsi="宋体" w:eastAsia="宋体" w:cs="宋体"/>
          <w:spacing w:val="-1"/>
          <w:sz w:val="24"/>
          <w:szCs w:val="24"/>
        </w:rPr>
        <w:t>优化改善、调研评估；</w:t>
      </w:r>
    </w:p>
    <w:p w14:paraId="38EA3008">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针对运维项目出具应急响应方案，定期举行应急响应演练并做好演练记</w:t>
      </w:r>
      <w:r>
        <w:rPr>
          <w:rFonts w:ascii="宋体" w:hAnsi="宋体" w:eastAsia="宋体" w:cs="宋体"/>
          <w:spacing w:val="-6"/>
          <w:sz w:val="24"/>
          <w:szCs w:val="24"/>
        </w:rPr>
        <w:t>录。</w:t>
      </w:r>
    </w:p>
    <w:p w14:paraId="359E4DE5">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负责组织软件项目的立项申请和技术可</w:t>
      </w:r>
      <w:r>
        <w:rPr>
          <w:rFonts w:ascii="宋体" w:hAnsi="宋体" w:eastAsia="宋体" w:cs="宋体"/>
          <w:spacing w:val="-2"/>
          <w:sz w:val="24"/>
          <w:szCs w:val="24"/>
        </w:rPr>
        <w:t>行性评审；</w:t>
      </w:r>
    </w:p>
    <w:p w14:paraId="2DB30424">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负责组织软件项目的研发、实施、升级和维护；</w:t>
      </w:r>
    </w:p>
    <w:p w14:paraId="37327F00">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w:t>
      </w:r>
      <w:r>
        <w:rPr>
          <w:rFonts w:hint="eastAsia" w:ascii="宋体" w:hAnsi="宋体" w:eastAsia="宋体" w:cs="宋体"/>
          <w:spacing w:val="-1"/>
          <w:sz w:val="24"/>
          <w:szCs w:val="24"/>
          <w:lang w:val="en-US" w:eastAsia="zh-CN"/>
        </w:rPr>
        <w:t>研发</w:t>
      </w:r>
      <w:r>
        <w:rPr>
          <w:rFonts w:ascii="宋体" w:hAnsi="宋体" w:eastAsia="宋体" w:cs="宋体"/>
          <w:spacing w:val="-1"/>
          <w:sz w:val="24"/>
          <w:szCs w:val="24"/>
        </w:rPr>
        <w:t>相关资料管理，做好资料保密工作；</w:t>
      </w:r>
    </w:p>
    <w:p w14:paraId="17C251D5">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协助其他部门的信息化项目提供技术支持和服务；</w:t>
      </w:r>
    </w:p>
    <w:p w14:paraId="21DEE5C7">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协助综合办公室建立技术绩效评估体系，并严格执行；</w:t>
      </w:r>
    </w:p>
    <w:p w14:paraId="137CE99D">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协助技术人才队伍的培养和人才梯队的建设。</w:t>
      </w:r>
    </w:p>
    <w:p w14:paraId="6822EF7D">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项目前期沟通交流会上技术答疑、给客户出相应的项目建设技术方案、项目招标投标的技术方案编写、系统演示支持等工作。</w:t>
      </w:r>
    </w:p>
    <w:p w14:paraId="2350F527">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5"/>
          <w:sz w:val="24"/>
          <w:szCs w:val="24"/>
        </w:rPr>
        <w:t>项目落地后的需求调研、定制开发、测试、部署上线、验收等实施工作，</w:t>
      </w:r>
      <w:r>
        <w:rPr>
          <w:rFonts w:ascii="宋体" w:hAnsi="宋体" w:eastAsia="宋体" w:cs="宋体"/>
          <w:spacing w:val="-1"/>
          <w:sz w:val="24"/>
          <w:szCs w:val="24"/>
        </w:rPr>
        <w:t>系统投运后售后技术问题的解决。</w:t>
      </w:r>
    </w:p>
    <w:p w14:paraId="2AC2185C">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负责运维服务技术知识的搜集。</w:t>
      </w:r>
    </w:p>
    <w:p w14:paraId="7B8BC7A3">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与业务人员对接，共同打造完善的业务流程、协作机制及系统功能；并</w:t>
      </w:r>
      <w:r>
        <w:rPr>
          <w:rFonts w:ascii="宋体" w:hAnsi="宋体" w:eastAsia="宋体" w:cs="宋体"/>
          <w:spacing w:val="-8"/>
          <w:sz w:val="24"/>
          <w:szCs w:val="24"/>
        </w:rPr>
        <w:t>进行软件产品功能规划、设计与需求管理、原型设计，配合完成高质量软件设计；</w:t>
      </w:r>
    </w:p>
    <w:p w14:paraId="771EC51A">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负责提供支撑IT运维服务的各类工具的研发，确保运维人员对</w:t>
      </w:r>
      <w:r>
        <w:rPr>
          <w:rFonts w:ascii="宋体" w:hAnsi="宋体" w:eastAsia="宋体" w:cs="宋体"/>
          <w:spacing w:val="-2"/>
          <w:sz w:val="24"/>
          <w:szCs w:val="24"/>
        </w:rPr>
        <w:t>服务进</w:t>
      </w:r>
      <w:r>
        <w:rPr>
          <w:rFonts w:ascii="宋体" w:hAnsi="宋体" w:eastAsia="宋体" w:cs="宋体"/>
          <w:sz w:val="24"/>
          <w:szCs w:val="24"/>
        </w:rPr>
        <w:t>行标准化操作和有效管理及过程监控.</w:t>
      </w:r>
    </w:p>
    <w:p w14:paraId="7A9F5E30">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负责运维服务技术研发工作及运维服务技术研发成果验收工作</w:t>
      </w:r>
      <w:r>
        <w:rPr>
          <w:rFonts w:hint="eastAsia" w:ascii="宋体" w:hAnsi="宋体" w:eastAsia="宋体" w:cs="宋体"/>
          <w:spacing w:val="-1"/>
          <w:sz w:val="24"/>
          <w:szCs w:val="24"/>
          <w:lang w:eastAsia="zh-CN"/>
        </w:rPr>
        <w:t>。</w:t>
      </w:r>
    </w:p>
    <w:p w14:paraId="7947DD45">
      <w:pPr>
        <w:pStyle w:val="31"/>
        <w:keepNext w:val="0"/>
        <w:keepLines w:val="0"/>
        <w:pageBreakBefore w:val="0"/>
        <w:widowControl w:val="0"/>
        <w:wordWrap/>
        <w:overflowPunct/>
        <w:topLinePunct w:val="0"/>
        <w:bidi w:val="0"/>
        <w:rPr>
          <w:rFonts w:hint="default"/>
          <w:lang w:val="en-US"/>
        </w:rPr>
      </w:pPr>
      <w:bookmarkStart w:id="11" w:name="_Toc27429"/>
      <w:r>
        <w:rPr>
          <w:rFonts w:hint="eastAsia"/>
          <w:lang w:val="en-US" w:eastAsia="zh-CN"/>
        </w:rPr>
        <w:t>采购部</w:t>
      </w:r>
      <w:bookmarkEnd w:id="11"/>
    </w:p>
    <w:p w14:paraId="0FF397D8">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负责制订物资采购计划。</w:t>
      </w:r>
    </w:p>
    <w:p w14:paraId="33B63830">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保障质量目标的经济性，降低产品和运输费用。</w:t>
      </w:r>
    </w:p>
    <w:p w14:paraId="79F767C2">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组织制定与本部门核心职能相关的管理制度及工作流程；</w:t>
      </w:r>
    </w:p>
    <w:p w14:paraId="412C87C1">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负责对备品备件部门提交的采购申请进行采购；</w:t>
      </w:r>
    </w:p>
    <w:p w14:paraId="66E8BF2C">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负责对</w:t>
      </w:r>
      <w:r>
        <w:rPr>
          <w:rFonts w:hint="eastAsia" w:ascii="宋体" w:hAnsi="宋体" w:eastAsia="宋体" w:cs="宋体"/>
          <w:spacing w:val="-2"/>
          <w:sz w:val="24"/>
          <w:szCs w:val="24"/>
          <w:lang w:val="en-US" w:eastAsia="zh-CN"/>
        </w:rPr>
        <w:t>平台运维组</w:t>
      </w:r>
      <w:r>
        <w:rPr>
          <w:rFonts w:ascii="宋体" w:hAnsi="宋体" w:eastAsia="宋体" w:cs="宋体"/>
          <w:spacing w:val="-2"/>
          <w:sz w:val="24"/>
          <w:szCs w:val="24"/>
        </w:rPr>
        <w:t>所需日常物资进行采购；</w:t>
      </w:r>
    </w:p>
    <w:p w14:paraId="6A3B6F08">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管理采购合同及供应商文件资料，建立供应商信息资源库；</w:t>
      </w:r>
    </w:p>
    <w:p w14:paraId="688C43B1">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制作、编写各类采购指标的统计报表；</w:t>
      </w:r>
    </w:p>
    <w:p w14:paraId="1A2F3799">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完成领导交办的其他工作。</w:t>
      </w:r>
    </w:p>
    <w:p w14:paraId="7224F26C">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对供应商进行评估考核。</w:t>
      </w:r>
    </w:p>
    <w:p w14:paraId="7EF41BCE">
      <w:pPr>
        <w:pStyle w:val="31"/>
        <w:keepNext w:val="0"/>
        <w:keepLines w:val="0"/>
        <w:pageBreakBefore w:val="0"/>
        <w:widowControl w:val="0"/>
        <w:wordWrap/>
        <w:overflowPunct/>
        <w:topLinePunct w:val="0"/>
        <w:bidi w:val="0"/>
      </w:pPr>
      <w:bookmarkStart w:id="12" w:name="_Toc15446"/>
      <w:r>
        <w:rPr>
          <w:rFonts w:hint="eastAsia"/>
          <w:lang w:val="en-US" w:eastAsia="zh-CN"/>
        </w:rPr>
        <w:t>综合办公室</w:t>
      </w:r>
      <w:bookmarkEnd w:id="12"/>
    </w:p>
    <w:p w14:paraId="319DFB61">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根据公司发展战略，制定人力资源规划</w:t>
      </w:r>
      <w:r>
        <w:rPr>
          <w:rFonts w:ascii="宋体" w:hAnsi="宋体" w:eastAsia="宋体" w:cs="宋体"/>
          <w:spacing w:val="-2"/>
          <w:sz w:val="24"/>
          <w:szCs w:val="24"/>
        </w:rPr>
        <w:t>与开发计划</w:t>
      </w:r>
    </w:p>
    <w:p w14:paraId="24262DC2">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拟定公司组织及其职能，主持确定各部门机构、编制、岗位、人员及其</w:t>
      </w:r>
      <w:r>
        <w:rPr>
          <w:rFonts w:ascii="宋体" w:hAnsi="宋体" w:eastAsia="宋体" w:cs="宋体"/>
          <w:spacing w:val="-6"/>
          <w:sz w:val="24"/>
          <w:szCs w:val="24"/>
        </w:rPr>
        <w:t>职责</w:t>
      </w:r>
    </w:p>
    <w:p w14:paraId="535A61B8">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建立公司绩效考核体系，并组织实施</w:t>
      </w:r>
    </w:p>
    <w:p w14:paraId="2F2DE484">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建立公司合理的薪酬体系</w:t>
      </w:r>
    </w:p>
    <w:p w14:paraId="1F26CFFE">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编制公司年度、月度培训计划，并督导实施</w:t>
      </w:r>
    </w:p>
    <w:p w14:paraId="23652202">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制定公司人力资源招聘计划，并组织实施</w:t>
      </w:r>
    </w:p>
    <w:p w14:paraId="0BF33F16">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建立内外部沟通渠道和公共关系，协调处理劳动争议，建立和谐的劳资</w:t>
      </w:r>
      <w:r>
        <w:rPr>
          <w:rFonts w:ascii="宋体" w:hAnsi="宋体" w:eastAsia="宋体" w:cs="宋体"/>
          <w:spacing w:val="-7"/>
          <w:sz w:val="24"/>
          <w:szCs w:val="24"/>
        </w:rPr>
        <w:t>关系</w:t>
      </w:r>
    </w:p>
    <w:p w14:paraId="743B395E">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主持人力资源的录用、任免、调动、晋升、辞退</w:t>
      </w:r>
    </w:p>
    <w:p w14:paraId="4D531846">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建立公司人才库，做好内部员工职业生涯规划</w:t>
      </w:r>
    </w:p>
    <w:p w14:paraId="5988D0CF">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负责人力资源信息统计、分析、汇总，及时报提相关部门</w:t>
      </w:r>
    </w:p>
    <w:p w14:paraId="2F5B5D13">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监督与指导各分公司进行规范人力资源管理</w:t>
      </w:r>
    </w:p>
    <w:p w14:paraId="78B66C13">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负责公司养老保险的规范管理</w:t>
      </w:r>
    </w:p>
    <w:p w14:paraId="621540C1">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负责公司劳动合同的规范管理</w:t>
      </w:r>
    </w:p>
    <w:p w14:paraId="3AD24819">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负责组织员工参加职称申报及考试工作</w:t>
      </w:r>
    </w:p>
    <w:p w14:paraId="52C382C8">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负责办理外来人才调动手续及应届大学毕业生的档案和户籍落实工作</w:t>
      </w:r>
    </w:p>
    <w:p w14:paraId="4D72AF77">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建立健全公司各项人力资源管理制度，并</w:t>
      </w:r>
      <w:r>
        <w:rPr>
          <w:rFonts w:ascii="宋体" w:hAnsi="宋体" w:eastAsia="宋体" w:cs="宋体"/>
          <w:spacing w:val="-2"/>
          <w:sz w:val="24"/>
          <w:szCs w:val="24"/>
        </w:rPr>
        <w:t>推动执行</w:t>
      </w:r>
    </w:p>
    <w:p w14:paraId="3578E0FE">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负责与财务有关报表的汇总分析呈工作，及时完成上级主管交办的其他工作负责编制公司日常行政方面的有关管理制度，并对执行遵守的状况和结</w:t>
      </w:r>
      <w:r>
        <w:rPr>
          <w:rFonts w:ascii="宋体" w:hAnsi="宋体" w:eastAsia="宋体" w:cs="宋体"/>
          <w:spacing w:val="-2"/>
          <w:sz w:val="24"/>
          <w:szCs w:val="24"/>
        </w:rPr>
        <w:t>果进行相应的监督、检查；</w:t>
      </w:r>
    </w:p>
    <w:p w14:paraId="0C22FF61">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完成领导交办的其它工作。</w:t>
      </w:r>
    </w:p>
    <w:p w14:paraId="189E94B5">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负责交付制度的跟进</w:t>
      </w:r>
    </w:p>
    <w:p w14:paraId="346D95D2">
      <w:pPr>
        <w:pStyle w:val="31"/>
        <w:bidi w:val="0"/>
        <w:rPr>
          <w:rFonts w:hint="default"/>
          <w:lang w:val="en-US" w:eastAsia="zh-CN"/>
        </w:rPr>
      </w:pPr>
      <w:bookmarkStart w:id="13" w:name="_Toc20865"/>
      <w:r>
        <w:rPr>
          <w:rFonts w:hint="eastAsia"/>
          <w:lang w:val="en-US" w:eastAsia="zh-CN"/>
        </w:rPr>
        <w:t>管控部</w:t>
      </w:r>
      <w:bookmarkEnd w:id="13"/>
    </w:p>
    <w:p w14:paraId="101EBDB3">
      <w:pPr>
        <w:pStyle w:val="29"/>
        <w:numPr>
          <w:ilvl w:val="0"/>
          <w:numId w:val="16"/>
        </w:numPr>
        <w:ind w:left="425" w:leftChars="0" w:hanging="425" w:firstLineChars="0"/>
        <w:rPr>
          <w:rFonts w:hint="default"/>
          <w:lang w:val="en-US" w:eastAsia="zh-CN"/>
        </w:rPr>
      </w:pPr>
      <w:r>
        <w:rPr>
          <w:rFonts w:hint="default"/>
          <w:lang w:val="en-US" w:eastAsia="zh-CN"/>
        </w:rPr>
        <w:t>负责建立、实施、维护和持续改进公司整体的质量管理体系，确保其有效运行并符合相关标准及内部要求，组织编制、修订和发布质量手册、程序文件等体系文件，并严格管理其受控、分发、更新与归档。</w:t>
      </w:r>
    </w:p>
    <w:p w14:paraId="1A1DDD4E">
      <w:pPr>
        <w:pStyle w:val="29"/>
        <w:numPr>
          <w:ilvl w:val="0"/>
          <w:numId w:val="16"/>
        </w:numPr>
        <w:ind w:left="425" w:leftChars="0" w:hanging="425" w:firstLineChars="0"/>
        <w:rPr>
          <w:rFonts w:hint="default"/>
          <w:lang w:val="en-US" w:eastAsia="zh-CN"/>
        </w:rPr>
      </w:pPr>
      <w:r>
        <w:rPr>
          <w:rFonts w:hint="default"/>
          <w:lang w:val="en-US" w:eastAsia="zh-CN"/>
        </w:rPr>
        <w:t>根据公司战略，组织制定年度质量目标、质量计划与预算，并将其分解至相关部门，监督其执行情况并进行考核。</w:t>
      </w:r>
    </w:p>
    <w:p w14:paraId="21A764D0">
      <w:pPr>
        <w:pStyle w:val="29"/>
        <w:numPr>
          <w:ilvl w:val="0"/>
          <w:numId w:val="16"/>
        </w:numPr>
        <w:ind w:left="425" w:leftChars="0" w:hanging="425" w:firstLineChars="0"/>
        <w:rPr>
          <w:rFonts w:hint="default"/>
          <w:lang w:val="en-US" w:eastAsia="zh-CN"/>
        </w:rPr>
      </w:pPr>
      <w:r>
        <w:rPr>
          <w:rFonts w:hint="default"/>
          <w:lang w:val="en-US" w:eastAsia="zh-CN"/>
        </w:rPr>
        <w:t>组织制定、修订和完善覆盖产品与服务全过程的检验标准、质量控制计划及各类质量管理制度与流程。</w:t>
      </w:r>
    </w:p>
    <w:p w14:paraId="70A3EE48">
      <w:pPr>
        <w:pStyle w:val="29"/>
        <w:numPr>
          <w:ilvl w:val="0"/>
          <w:numId w:val="16"/>
        </w:numPr>
        <w:ind w:left="425" w:leftChars="0" w:hanging="425" w:firstLineChars="0"/>
        <w:rPr>
          <w:rFonts w:hint="default"/>
          <w:lang w:val="en-US" w:eastAsia="zh-CN"/>
        </w:rPr>
      </w:pPr>
      <w:r>
        <w:rPr>
          <w:rFonts w:hint="default"/>
          <w:lang w:val="en-US" w:eastAsia="zh-CN"/>
        </w:rPr>
        <w:t>对公司核心业务过程（如项目交付、软件开发、运维服务）进行监督与符合性检查，确保其按既定质量标准与规程执行。</w:t>
      </w:r>
    </w:p>
    <w:p w14:paraId="5AFCC0AD">
      <w:pPr>
        <w:pStyle w:val="29"/>
        <w:numPr>
          <w:ilvl w:val="0"/>
          <w:numId w:val="16"/>
        </w:numPr>
        <w:ind w:left="425" w:leftChars="0" w:hanging="425" w:firstLineChars="0"/>
        <w:rPr>
          <w:rFonts w:hint="default"/>
          <w:lang w:val="en-US" w:eastAsia="zh-CN"/>
        </w:rPr>
      </w:pPr>
      <w:r>
        <w:rPr>
          <w:rFonts w:hint="default"/>
          <w:lang w:val="en-US" w:eastAsia="zh-CN"/>
        </w:rPr>
        <w:t>系统性地收集、统计和分析各类质量数据（如合格率、客户投诉率、故障率），运用专业工具进行监控与分析，编制质量报告，为管理评审与决策提供依据。</w:t>
      </w:r>
    </w:p>
    <w:p w14:paraId="0AC003B1">
      <w:pPr>
        <w:pStyle w:val="29"/>
        <w:numPr>
          <w:ilvl w:val="0"/>
          <w:numId w:val="16"/>
        </w:numPr>
        <w:ind w:left="425" w:leftChars="0" w:hanging="425" w:firstLineChars="0"/>
        <w:rPr>
          <w:rFonts w:hint="default"/>
          <w:lang w:val="en-US" w:eastAsia="zh-CN"/>
        </w:rPr>
      </w:pPr>
      <w:r>
        <w:rPr>
          <w:rFonts w:hint="default"/>
          <w:lang w:val="en-US" w:eastAsia="zh-CN"/>
        </w:rPr>
        <w:t>策划并组织实施内部质量体系审核、过程审核及产品审核，跟踪验证纠正与预防措施的有效性，并协助管理层开展管理评审。</w:t>
      </w:r>
    </w:p>
    <w:p w14:paraId="0513C59C">
      <w:pPr>
        <w:pStyle w:val="29"/>
        <w:numPr>
          <w:ilvl w:val="0"/>
          <w:numId w:val="16"/>
        </w:numPr>
        <w:ind w:left="425" w:leftChars="0" w:hanging="425" w:firstLineChars="0"/>
        <w:rPr>
          <w:rFonts w:hint="default"/>
          <w:lang w:val="en-US" w:eastAsia="zh-CN"/>
        </w:rPr>
      </w:pPr>
      <w:r>
        <w:rPr>
          <w:rFonts w:hint="default"/>
          <w:lang w:val="en-US" w:eastAsia="zh-CN"/>
        </w:rPr>
        <w:t>主导客户投诉及重大质量问题的调查、分析与处理，组织制定并跟踪纠正与预防措施的实施直至问题关闭。</w:t>
      </w:r>
    </w:p>
    <w:p w14:paraId="74F397FE">
      <w:pPr>
        <w:pStyle w:val="29"/>
        <w:numPr>
          <w:ilvl w:val="0"/>
          <w:numId w:val="16"/>
        </w:numPr>
        <w:ind w:left="425" w:leftChars="0" w:hanging="425" w:firstLineChars="0"/>
        <w:rPr>
          <w:rFonts w:hint="default"/>
          <w:lang w:val="en-US" w:eastAsia="zh-CN"/>
        </w:rPr>
      </w:pPr>
      <w:r>
        <w:rPr>
          <w:rFonts w:hint="default"/>
          <w:lang w:val="en-US" w:eastAsia="zh-CN"/>
        </w:rPr>
        <w:t>监督不合格品/服务的控制流程，确保其被正确标识、隔离、评审与处置。</w:t>
      </w:r>
    </w:p>
    <w:p w14:paraId="38FEE701">
      <w:pPr>
        <w:pStyle w:val="29"/>
        <w:numPr>
          <w:ilvl w:val="0"/>
          <w:numId w:val="16"/>
        </w:numPr>
        <w:ind w:left="425" w:leftChars="0" w:hanging="425" w:firstLineChars="0"/>
        <w:rPr>
          <w:rFonts w:hint="default"/>
          <w:lang w:val="en-US" w:eastAsia="zh-CN"/>
        </w:rPr>
      </w:pPr>
      <w:r>
        <w:rPr>
          <w:rFonts w:hint="default"/>
          <w:lang w:val="en-US" w:eastAsia="zh-CN"/>
        </w:rPr>
        <w:t>监控并分析质量成本（预防、鉴定、内外部失败成本），推动质量改善以降低劣质成本。</w:t>
      </w:r>
    </w:p>
    <w:p w14:paraId="72E86FC0">
      <w:pPr>
        <w:pStyle w:val="29"/>
        <w:numPr>
          <w:ilvl w:val="0"/>
          <w:numId w:val="16"/>
        </w:numPr>
        <w:ind w:left="425" w:leftChars="0" w:hanging="425" w:firstLineChars="0"/>
        <w:rPr>
          <w:rFonts w:hint="default"/>
          <w:lang w:val="en-US" w:eastAsia="zh-CN"/>
        </w:rPr>
      </w:pPr>
      <w:r>
        <w:rPr>
          <w:rFonts w:hint="default"/>
          <w:lang w:val="en-US" w:eastAsia="zh-CN"/>
        </w:rPr>
        <w:t>在公司范围内推广质量意识，组织质量工具与标准的培训，推动质量改进项目，构建持续改进的质量文化。</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2BEED">
    <w:pPr>
      <w:pStyle w:val="16"/>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BA70C4BC"/>
    <w:multiLevelType w:val="singleLevel"/>
    <w:tmpl w:val="BA70C4BC"/>
    <w:lvl w:ilvl="0" w:tentative="0">
      <w:start w:val="1"/>
      <w:numFmt w:val="bullet"/>
      <w:lvlText w:val=""/>
      <w:lvlJc w:val="left"/>
      <w:pPr>
        <w:tabs>
          <w:tab w:val="left" w:pos="840"/>
        </w:tabs>
        <w:ind w:left="1260" w:hanging="420"/>
      </w:pPr>
      <w:rPr>
        <w:rFonts w:hint="default" w:ascii="Wingdings" w:hAnsi="Wingdings"/>
      </w:rPr>
    </w:lvl>
  </w:abstractNum>
  <w:abstractNum w:abstractNumId="2">
    <w:nsid w:val="D7862A04"/>
    <w:multiLevelType w:val="singleLevel"/>
    <w:tmpl w:val="D7862A04"/>
    <w:lvl w:ilvl="0" w:tentative="0">
      <w:start w:val="1"/>
      <w:numFmt w:val="bullet"/>
      <w:lvlText w:val=""/>
      <w:lvlJc w:val="left"/>
      <w:pPr>
        <w:tabs>
          <w:tab w:val="left" w:pos="1260"/>
        </w:tabs>
        <w:ind w:left="1680" w:hanging="420"/>
      </w:pPr>
      <w:rPr>
        <w:rFonts w:hint="default" w:ascii="Wingdings" w:hAnsi="Wingdings"/>
      </w:rPr>
    </w:lvl>
  </w:abstractNum>
  <w:abstractNum w:abstractNumId="3">
    <w:nsid w:val="DB1E99AC"/>
    <w:multiLevelType w:val="multilevel"/>
    <w:tmpl w:val="DB1E99AC"/>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4">
    <w:nsid w:val="F29CB1C6"/>
    <w:multiLevelType w:val="singleLevel"/>
    <w:tmpl w:val="F29CB1C6"/>
    <w:lvl w:ilvl="0" w:tentative="0">
      <w:start w:val="1"/>
      <w:numFmt w:val="decimal"/>
      <w:lvlText w:val="%1."/>
      <w:lvlJc w:val="left"/>
      <w:pPr>
        <w:ind w:left="425" w:hanging="425"/>
      </w:pPr>
      <w:rPr>
        <w:rFonts w:hint="default"/>
      </w:rPr>
    </w:lvl>
  </w:abstractNum>
  <w:abstractNum w:abstractNumId="5">
    <w:nsid w:val="03D68C40"/>
    <w:multiLevelType w:val="singleLevel"/>
    <w:tmpl w:val="03D68C40"/>
    <w:lvl w:ilvl="0" w:tentative="0">
      <w:start w:val="1"/>
      <w:numFmt w:val="decimal"/>
      <w:lvlText w:val="%1."/>
      <w:lvlJc w:val="left"/>
      <w:pPr>
        <w:ind w:left="425" w:hanging="425"/>
      </w:pPr>
      <w:rPr>
        <w:rFonts w:hint="default"/>
      </w:rPr>
    </w:lvl>
  </w:abstractNum>
  <w:abstractNum w:abstractNumId="6">
    <w:nsid w:val="12126C21"/>
    <w:multiLevelType w:val="singleLevel"/>
    <w:tmpl w:val="12126C21"/>
    <w:lvl w:ilvl="0" w:tentative="0">
      <w:start w:val="1"/>
      <w:numFmt w:val="decimal"/>
      <w:lvlText w:val="%1."/>
      <w:lvlJc w:val="left"/>
      <w:pPr>
        <w:ind w:left="425" w:hanging="425"/>
      </w:pPr>
      <w:rPr>
        <w:rFonts w:hint="default"/>
      </w:rPr>
    </w:lvl>
  </w:abstractNum>
  <w:abstractNum w:abstractNumId="7">
    <w:nsid w:val="150A0C29"/>
    <w:multiLevelType w:val="singleLevel"/>
    <w:tmpl w:val="150A0C29"/>
    <w:lvl w:ilvl="0" w:tentative="0">
      <w:start w:val="1"/>
      <w:numFmt w:val="decimal"/>
      <w:lvlText w:val="%1."/>
      <w:lvlJc w:val="left"/>
      <w:pPr>
        <w:ind w:left="425" w:hanging="425"/>
      </w:pPr>
      <w:rPr>
        <w:rFonts w:hint="default"/>
      </w:rPr>
    </w:lvl>
  </w:abstractNum>
  <w:abstractNum w:abstractNumId="8">
    <w:nsid w:val="2ACDA35D"/>
    <w:multiLevelType w:val="multilevel"/>
    <w:tmpl w:val="2ACDA35D"/>
    <w:lvl w:ilvl="0" w:tentative="0">
      <w:start w:val="1"/>
      <w:numFmt w:val="bullet"/>
      <w:lvlText w:val=""/>
      <w:lvlJc w:val="left"/>
      <w:pPr>
        <w:tabs>
          <w:tab w:val="left" w:pos="1260"/>
        </w:tabs>
        <w:ind w:left="1680" w:hanging="420"/>
      </w:pPr>
      <w:rPr>
        <w:rFonts w:hint="default" w:ascii="Wingdings" w:hAnsi="Wingdings"/>
      </w:rPr>
    </w:lvl>
    <w:lvl w:ilvl="1" w:tentative="0">
      <w:start w:val="1"/>
      <w:numFmt w:val="bullet"/>
      <w:lvlText w:val=""/>
      <w:lvlJc w:val="left"/>
      <w:pPr>
        <w:tabs>
          <w:tab w:val="left" w:pos="1680"/>
        </w:tabs>
        <w:ind w:left="2100" w:leftChars="0" w:hanging="420" w:firstLineChars="0"/>
      </w:pPr>
      <w:rPr>
        <w:rFonts w:hint="default" w:ascii="Wingdings" w:hAnsi="Wingdings"/>
      </w:rPr>
    </w:lvl>
    <w:lvl w:ilvl="2" w:tentative="0">
      <w:start w:val="1"/>
      <w:numFmt w:val="bullet"/>
      <w:lvlText w:val=""/>
      <w:lvlJc w:val="left"/>
      <w:pPr>
        <w:tabs>
          <w:tab w:val="left" w:pos="2100"/>
        </w:tabs>
        <w:ind w:left="2520" w:leftChars="0" w:hanging="420" w:firstLineChars="0"/>
      </w:pPr>
      <w:rPr>
        <w:rFonts w:hint="default" w:ascii="Wingdings" w:hAnsi="Wingdings"/>
      </w:rPr>
    </w:lvl>
    <w:lvl w:ilvl="3" w:tentative="0">
      <w:start w:val="1"/>
      <w:numFmt w:val="bullet"/>
      <w:lvlText w:val=""/>
      <w:lvlJc w:val="left"/>
      <w:pPr>
        <w:tabs>
          <w:tab w:val="left" w:pos="2520"/>
        </w:tabs>
        <w:ind w:left="2940" w:leftChars="0" w:hanging="420" w:firstLineChars="0"/>
      </w:pPr>
      <w:rPr>
        <w:rFonts w:hint="default" w:ascii="Wingdings" w:hAnsi="Wingdings"/>
      </w:rPr>
    </w:lvl>
    <w:lvl w:ilvl="4" w:tentative="0">
      <w:start w:val="1"/>
      <w:numFmt w:val="bullet"/>
      <w:lvlText w:val=""/>
      <w:lvlJc w:val="left"/>
      <w:pPr>
        <w:tabs>
          <w:tab w:val="left" w:pos="2940"/>
        </w:tabs>
        <w:ind w:left="3360" w:leftChars="0" w:hanging="420" w:firstLineChars="0"/>
      </w:pPr>
      <w:rPr>
        <w:rFonts w:hint="default" w:ascii="Wingdings" w:hAnsi="Wingdings"/>
      </w:rPr>
    </w:lvl>
    <w:lvl w:ilvl="5" w:tentative="0">
      <w:start w:val="1"/>
      <w:numFmt w:val="bullet"/>
      <w:lvlText w:val=""/>
      <w:lvlJc w:val="left"/>
      <w:pPr>
        <w:tabs>
          <w:tab w:val="left" w:pos="3360"/>
        </w:tabs>
        <w:ind w:left="3780" w:leftChars="0" w:hanging="420" w:firstLineChars="0"/>
      </w:pPr>
      <w:rPr>
        <w:rFonts w:hint="default" w:ascii="Wingdings" w:hAnsi="Wingdings"/>
      </w:rPr>
    </w:lvl>
    <w:lvl w:ilvl="6" w:tentative="0">
      <w:start w:val="1"/>
      <w:numFmt w:val="bullet"/>
      <w:lvlText w:val=""/>
      <w:lvlJc w:val="left"/>
      <w:pPr>
        <w:tabs>
          <w:tab w:val="left" w:pos="3780"/>
        </w:tabs>
        <w:ind w:left="4200" w:leftChars="0" w:hanging="420" w:firstLineChars="0"/>
      </w:pPr>
      <w:rPr>
        <w:rFonts w:hint="default" w:ascii="Wingdings" w:hAnsi="Wingdings"/>
      </w:rPr>
    </w:lvl>
    <w:lvl w:ilvl="7" w:tentative="0">
      <w:start w:val="1"/>
      <w:numFmt w:val="bullet"/>
      <w:lvlText w:val=""/>
      <w:lvlJc w:val="left"/>
      <w:pPr>
        <w:tabs>
          <w:tab w:val="left" w:pos="4200"/>
        </w:tabs>
        <w:ind w:left="4620" w:leftChars="0" w:hanging="420" w:firstLineChars="0"/>
      </w:pPr>
      <w:rPr>
        <w:rFonts w:hint="default" w:ascii="Wingdings" w:hAnsi="Wingdings"/>
      </w:rPr>
    </w:lvl>
    <w:lvl w:ilvl="8" w:tentative="0">
      <w:start w:val="1"/>
      <w:numFmt w:val="bullet"/>
      <w:lvlText w:val=""/>
      <w:lvlJc w:val="left"/>
      <w:pPr>
        <w:tabs>
          <w:tab w:val="left" w:pos="4620"/>
        </w:tabs>
        <w:ind w:left="5040" w:leftChars="0" w:hanging="420" w:firstLineChars="0"/>
      </w:pPr>
      <w:rPr>
        <w:rFonts w:hint="default" w:ascii="Wingdings" w:hAnsi="Wingdings"/>
      </w:rPr>
    </w:lvl>
  </w:abstractNum>
  <w:abstractNum w:abstractNumId="9">
    <w:nsid w:val="2AD85455"/>
    <w:multiLevelType w:val="multilevel"/>
    <w:tmpl w:val="2AD854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3058B79C"/>
    <w:multiLevelType w:val="singleLevel"/>
    <w:tmpl w:val="3058B79C"/>
    <w:lvl w:ilvl="0" w:tentative="0">
      <w:start w:val="1"/>
      <w:numFmt w:val="decimal"/>
      <w:lvlText w:val="%1."/>
      <w:lvlJc w:val="left"/>
      <w:pPr>
        <w:ind w:left="425" w:hanging="425"/>
      </w:pPr>
      <w:rPr>
        <w:rFonts w:hint="default"/>
      </w:rPr>
    </w:lvl>
  </w:abstractNum>
  <w:abstractNum w:abstractNumId="11">
    <w:nsid w:val="577ACFAD"/>
    <w:multiLevelType w:val="singleLevel"/>
    <w:tmpl w:val="577ACFAD"/>
    <w:lvl w:ilvl="0" w:tentative="0">
      <w:start w:val="1"/>
      <w:numFmt w:val="decimal"/>
      <w:lvlText w:val="%1."/>
      <w:lvlJc w:val="left"/>
      <w:pPr>
        <w:ind w:left="425" w:hanging="425"/>
      </w:pPr>
      <w:rPr>
        <w:rFonts w:hint="default"/>
      </w:rPr>
    </w:lvl>
  </w:abstractNum>
  <w:abstractNum w:abstractNumId="12">
    <w:nsid w:val="5B3E1EC2"/>
    <w:multiLevelType w:val="singleLevel"/>
    <w:tmpl w:val="5B3E1EC2"/>
    <w:lvl w:ilvl="0" w:tentative="0">
      <w:start w:val="1"/>
      <w:numFmt w:val="decimal"/>
      <w:lvlText w:val="%1."/>
      <w:lvlJc w:val="left"/>
      <w:pPr>
        <w:ind w:left="425" w:hanging="425"/>
      </w:pPr>
      <w:rPr>
        <w:rFonts w:hint="default"/>
      </w:rPr>
    </w:lvl>
  </w:abstractNum>
  <w:abstractNum w:abstractNumId="13">
    <w:nsid w:val="6239A39B"/>
    <w:multiLevelType w:val="singleLevel"/>
    <w:tmpl w:val="6239A39B"/>
    <w:lvl w:ilvl="0" w:tentative="0">
      <w:start w:val="1"/>
      <w:numFmt w:val="decimal"/>
      <w:lvlText w:val="%1."/>
      <w:lvlJc w:val="left"/>
      <w:pPr>
        <w:ind w:left="425" w:hanging="425"/>
      </w:pPr>
      <w:rPr>
        <w:rFonts w:hint="default"/>
      </w:rPr>
    </w:lvl>
  </w:abstractNum>
  <w:abstractNum w:abstractNumId="14">
    <w:nsid w:val="74BEB94E"/>
    <w:multiLevelType w:val="singleLevel"/>
    <w:tmpl w:val="74BEB94E"/>
    <w:lvl w:ilvl="0" w:tentative="0">
      <w:start w:val="1"/>
      <w:numFmt w:val="decimal"/>
      <w:lvlText w:val="%1."/>
      <w:lvlJc w:val="left"/>
      <w:pPr>
        <w:ind w:left="425" w:hanging="425"/>
      </w:pPr>
      <w:rPr>
        <w:rFonts w:hint="default"/>
      </w:rPr>
    </w:lvl>
  </w:abstractNum>
  <w:abstractNum w:abstractNumId="15">
    <w:nsid w:val="7AE905EC"/>
    <w:multiLevelType w:val="singleLevel"/>
    <w:tmpl w:val="7AE905EC"/>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 w:numId="2">
    <w:abstractNumId w:val="9"/>
  </w:num>
  <w:num w:numId="3">
    <w:abstractNumId w:val="15"/>
  </w:num>
  <w:num w:numId="4">
    <w:abstractNumId w:val="1"/>
  </w:num>
  <w:num w:numId="5">
    <w:abstractNumId w:val="3"/>
  </w:num>
  <w:num w:numId="6">
    <w:abstractNumId w:val="8"/>
  </w:num>
  <w:num w:numId="7">
    <w:abstractNumId w:val="2"/>
  </w:num>
  <w:num w:numId="8">
    <w:abstractNumId w:val="7"/>
  </w:num>
  <w:num w:numId="9">
    <w:abstractNumId w:val="4"/>
  </w:num>
  <w:num w:numId="10">
    <w:abstractNumId w:val="10"/>
  </w:num>
  <w:num w:numId="11">
    <w:abstractNumId w:val="5"/>
  </w:num>
  <w:num w:numId="12">
    <w:abstractNumId w:val="13"/>
  </w:num>
  <w:num w:numId="13">
    <w:abstractNumId w:val="11"/>
  </w:num>
  <w:num w:numId="14">
    <w:abstractNumId w:val="6"/>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D545DC"/>
    <w:rsid w:val="058131A6"/>
    <w:rsid w:val="0BBC48D3"/>
    <w:rsid w:val="0D170573"/>
    <w:rsid w:val="165A3F71"/>
    <w:rsid w:val="173A6D8C"/>
    <w:rsid w:val="17E7717C"/>
    <w:rsid w:val="1A36331C"/>
    <w:rsid w:val="215D2562"/>
    <w:rsid w:val="24013925"/>
    <w:rsid w:val="28B90DDD"/>
    <w:rsid w:val="3682273E"/>
    <w:rsid w:val="37FF1C3B"/>
    <w:rsid w:val="3C5B6745"/>
    <w:rsid w:val="3E7E7642"/>
    <w:rsid w:val="40306EBC"/>
    <w:rsid w:val="41BF069E"/>
    <w:rsid w:val="41C65E74"/>
    <w:rsid w:val="4C2A705C"/>
    <w:rsid w:val="4FEC3C67"/>
    <w:rsid w:val="55627866"/>
    <w:rsid w:val="56EA3CF1"/>
    <w:rsid w:val="585039A6"/>
    <w:rsid w:val="59C10AB4"/>
    <w:rsid w:val="5BE72004"/>
    <w:rsid w:val="5D9A56C3"/>
    <w:rsid w:val="67C63C85"/>
    <w:rsid w:val="6D0D1A0E"/>
    <w:rsid w:val="6EE54237"/>
    <w:rsid w:val="71CE6A41"/>
    <w:rsid w:val="761D35E7"/>
    <w:rsid w:val="77F71C38"/>
    <w:rsid w:val="7BEE5100"/>
    <w:rsid w:val="7DC20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3">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4">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5">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6">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2">
    <w:name w:val="toc 2"/>
    <w:basedOn w:val="1"/>
    <w:next w:val="1"/>
    <w:qFormat/>
    <w:uiPriority w:val="0"/>
    <w:pPr>
      <w:ind w:left="420" w:leftChars="200"/>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3"/>
    <w:next w:val="29"/>
    <w:link w:val="39"/>
    <w:qFormat/>
    <w:uiPriority w:val="0"/>
    <w:pPr>
      <w:spacing w:before="100" w:after="90" w:line="360" w:lineRule="auto"/>
    </w:pPr>
    <w:rPr>
      <w:rFonts w:ascii="Arial" w:hAnsi="Arial" w:eastAsia="宋体"/>
      <w:sz w:val="32"/>
    </w:rPr>
  </w:style>
  <w:style w:type="paragraph" w:customStyle="1" w:styleId="29">
    <w:name w:val="柴_正文"/>
    <w:basedOn w:val="13"/>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4"/>
    <w:next w:val="29"/>
    <w:qFormat/>
    <w:uiPriority w:val="0"/>
    <w:pPr>
      <w:spacing w:line="360" w:lineRule="auto"/>
    </w:pPr>
    <w:rPr>
      <w:rFonts w:ascii="Arial" w:hAnsi="Arial" w:eastAsia="宋体"/>
      <w:sz w:val="28"/>
    </w:rPr>
  </w:style>
  <w:style w:type="paragraph" w:customStyle="1" w:styleId="31">
    <w:name w:val="柴_标题3"/>
    <w:basedOn w:val="5"/>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table" w:customStyle="1" w:styleId="36">
    <w:name w:val="Table Normal_1"/>
    <w:semiHidden/>
    <w:unhideWhenUsed/>
    <w:qFormat/>
    <w:uiPriority w:val="0"/>
    <w:tblPr>
      <w:tblCellMar>
        <w:top w:w="0" w:type="dxa"/>
        <w:left w:w="0" w:type="dxa"/>
        <w:bottom w:w="0" w:type="dxa"/>
        <w:right w:w="0" w:type="dxa"/>
      </w:tblCellMar>
    </w:tblPr>
  </w:style>
  <w:style w:type="paragraph" w:customStyle="1" w:styleId="37">
    <w:name w:val="Compact"/>
    <w:basedOn w:val="13"/>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8"/>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6"/>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4284</Words>
  <Characters>4399</Characters>
  <Lines>0</Lines>
  <Paragraphs>0</Paragraphs>
  <TotalTime>0</TotalTime>
  <ScaleCrop>false</ScaleCrop>
  <LinksUpToDate>false</LinksUpToDate>
  <CharactersWithSpaces>4513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2025-12-29T05:59:48Z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7142C7FC60514B0BBC4DEDB08214EF29_13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