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58495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37D97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FD76C5">
      <w:pPr>
        <w:pStyle w:val="24"/>
        <w:bidi w:val="0"/>
      </w:pPr>
      <w:bookmarkStart w:id="0" w:name="_Toc24264"/>
      <w:r>
        <w:rPr>
          <w:rFonts w:hint="eastAsia"/>
          <w:lang w:val="en-US" w:eastAsia="zh-CN"/>
        </w:rPr>
        <w:t>青岛瑞源工程集团有限公司</w:t>
      </w:r>
      <w:bookmarkEnd w:id="0"/>
    </w:p>
    <w:p w14:paraId="44DC4904">
      <w:pPr>
        <w:pStyle w:val="25"/>
        <w:bidi w:val="0"/>
        <w:rPr>
          <w:rFonts w:hint="default"/>
          <w:lang w:val="en-US"/>
        </w:rPr>
      </w:pPr>
      <w:bookmarkStart w:id="1" w:name="_Toc15907"/>
      <w:r>
        <w:rPr>
          <w:rFonts w:hint="eastAsia"/>
          <w:lang w:val="en-US" w:eastAsia="zh-CN"/>
        </w:rPr>
        <w:t>运维服务能力管理制度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DE14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8FE0ECF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薛成攀</w:t>
            </w:r>
          </w:p>
        </w:tc>
        <w:tc>
          <w:tcPr>
            <w:tcW w:w="4261" w:type="dxa"/>
          </w:tcPr>
          <w:p w14:paraId="34E54EB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8F19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DC56DD8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1BCFC17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5378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3CF4CE1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14D815C2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CF0AEEC">
      <w:r>
        <w:br w:type="page"/>
      </w:r>
    </w:p>
    <w:p w14:paraId="7A0A997D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862D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98FFE30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517706A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B74F696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69BB23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FBFD6C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614E35F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B31C6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68C8FF4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11BA997D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34C8343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11511CB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32D6008E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5A551701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078404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AB39D9">
            <w:pPr>
              <w:pStyle w:val="27"/>
            </w:pPr>
          </w:p>
        </w:tc>
        <w:tc>
          <w:tcPr>
            <w:tcW w:w="919" w:type="dxa"/>
          </w:tcPr>
          <w:p w14:paraId="1F5E9C99">
            <w:pPr>
              <w:pStyle w:val="27"/>
            </w:pPr>
          </w:p>
        </w:tc>
        <w:tc>
          <w:tcPr>
            <w:tcW w:w="2289" w:type="dxa"/>
          </w:tcPr>
          <w:p w14:paraId="1FB6BD4F">
            <w:pPr>
              <w:pStyle w:val="27"/>
            </w:pPr>
          </w:p>
        </w:tc>
        <w:tc>
          <w:tcPr>
            <w:tcW w:w="1148" w:type="dxa"/>
          </w:tcPr>
          <w:p w14:paraId="5AE4027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A69FD90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201B950">
            <w:pPr>
              <w:pStyle w:val="27"/>
            </w:pPr>
          </w:p>
        </w:tc>
      </w:tr>
      <w:tr w14:paraId="2F7B62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67CCF4">
            <w:pPr>
              <w:pStyle w:val="27"/>
            </w:pPr>
          </w:p>
        </w:tc>
        <w:tc>
          <w:tcPr>
            <w:tcW w:w="919" w:type="dxa"/>
          </w:tcPr>
          <w:p w14:paraId="0531A6AC">
            <w:pPr>
              <w:pStyle w:val="27"/>
            </w:pPr>
          </w:p>
        </w:tc>
        <w:tc>
          <w:tcPr>
            <w:tcW w:w="2289" w:type="dxa"/>
          </w:tcPr>
          <w:p w14:paraId="1A3A1989">
            <w:pPr>
              <w:pStyle w:val="27"/>
            </w:pPr>
          </w:p>
        </w:tc>
        <w:tc>
          <w:tcPr>
            <w:tcW w:w="1148" w:type="dxa"/>
          </w:tcPr>
          <w:p w14:paraId="7E79E038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5FDA69E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C5AB902">
            <w:pPr>
              <w:pStyle w:val="27"/>
            </w:pPr>
          </w:p>
        </w:tc>
      </w:tr>
      <w:tr w14:paraId="412A69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C773285">
            <w:pPr>
              <w:pStyle w:val="27"/>
            </w:pPr>
          </w:p>
        </w:tc>
        <w:tc>
          <w:tcPr>
            <w:tcW w:w="919" w:type="dxa"/>
          </w:tcPr>
          <w:p w14:paraId="41A6F3EC">
            <w:pPr>
              <w:pStyle w:val="27"/>
            </w:pPr>
          </w:p>
        </w:tc>
        <w:tc>
          <w:tcPr>
            <w:tcW w:w="2289" w:type="dxa"/>
          </w:tcPr>
          <w:p w14:paraId="1E9A736D">
            <w:pPr>
              <w:pStyle w:val="27"/>
            </w:pPr>
          </w:p>
        </w:tc>
        <w:tc>
          <w:tcPr>
            <w:tcW w:w="1148" w:type="dxa"/>
          </w:tcPr>
          <w:p w14:paraId="3CC18DE6">
            <w:pPr>
              <w:pStyle w:val="27"/>
            </w:pPr>
          </w:p>
        </w:tc>
        <w:tc>
          <w:tcPr>
            <w:tcW w:w="1150" w:type="dxa"/>
          </w:tcPr>
          <w:p w14:paraId="53DCB61C">
            <w:pPr>
              <w:pStyle w:val="27"/>
            </w:pPr>
          </w:p>
        </w:tc>
        <w:tc>
          <w:tcPr>
            <w:tcW w:w="1240" w:type="dxa"/>
          </w:tcPr>
          <w:p w14:paraId="15B41D02">
            <w:pPr>
              <w:pStyle w:val="27"/>
            </w:pPr>
          </w:p>
        </w:tc>
      </w:tr>
      <w:tr w14:paraId="405944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B86E0E5">
            <w:pPr>
              <w:pStyle w:val="27"/>
            </w:pPr>
          </w:p>
        </w:tc>
        <w:tc>
          <w:tcPr>
            <w:tcW w:w="919" w:type="dxa"/>
          </w:tcPr>
          <w:p w14:paraId="26D575B9">
            <w:pPr>
              <w:pStyle w:val="27"/>
            </w:pPr>
          </w:p>
        </w:tc>
        <w:tc>
          <w:tcPr>
            <w:tcW w:w="2289" w:type="dxa"/>
          </w:tcPr>
          <w:p w14:paraId="23312621">
            <w:pPr>
              <w:pStyle w:val="27"/>
            </w:pPr>
          </w:p>
        </w:tc>
        <w:tc>
          <w:tcPr>
            <w:tcW w:w="1148" w:type="dxa"/>
          </w:tcPr>
          <w:p w14:paraId="3AFD99F1">
            <w:pPr>
              <w:pStyle w:val="27"/>
            </w:pPr>
          </w:p>
        </w:tc>
        <w:tc>
          <w:tcPr>
            <w:tcW w:w="1150" w:type="dxa"/>
          </w:tcPr>
          <w:p w14:paraId="24E614D3">
            <w:pPr>
              <w:pStyle w:val="27"/>
            </w:pPr>
          </w:p>
        </w:tc>
        <w:tc>
          <w:tcPr>
            <w:tcW w:w="1240" w:type="dxa"/>
          </w:tcPr>
          <w:p w14:paraId="73E3BBA1">
            <w:pPr>
              <w:pStyle w:val="27"/>
            </w:pPr>
          </w:p>
        </w:tc>
      </w:tr>
      <w:tr w14:paraId="3E270C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AE482EB">
            <w:pPr>
              <w:pStyle w:val="27"/>
            </w:pPr>
          </w:p>
        </w:tc>
        <w:tc>
          <w:tcPr>
            <w:tcW w:w="919" w:type="dxa"/>
          </w:tcPr>
          <w:p w14:paraId="6B28CB69">
            <w:pPr>
              <w:pStyle w:val="27"/>
            </w:pPr>
          </w:p>
        </w:tc>
        <w:tc>
          <w:tcPr>
            <w:tcW w:w="2289" w:type="dxa"/>
          </w:tcPr>
          <w:p w14:paraId="4F304DAD">
            <w:pPr>
              <w:pStyle w:val="27"/>
            </w:pPr>
          </w:p>
        </w:tc>
        <w:tc>
          <w:tcPr>
            <w:tcW w:w="1148" w:type="dxa"/>
          </w:tcPr>
          <w:p w14:paraId="6BBEDCCB">
            <w:pPr>
              <w:pStyle w:val="27"/>
            </w:pPr>
          </w:p>
        </w:tc>
        <w:tc>
          <w:tcPr>
            <w:tcW w:w="1150" w:type="dxa"/>
          </w:tcPr>
          <w:p w14:paraId="03EB5FF9">
            <w:pPr>
              <w:pStyle w:val="27"/>
            </w:pPr>
          </w:p>
        </w:tc>
        <w:tc>
          <w:tcPr>
            <w:tcW w:w="1240" w:type="dxa"/>
          </w:tcPr>
          <w:p w14:paraId="03C62795">
            <w:pPr>
              <w:pStyle w:val="27"/>
            </w:pPr>
          </w:p>
        </w:tc>
      </w:tr>
    </w:tbl>
    <w:p w14:paraId="61D4A58B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09F6C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9BE0F8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_Toc24264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C78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_Toc15907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CD26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_Toc21611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8DBDD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_Toc25016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1AB0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_Toc16856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5F4F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_Toc24597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3750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公司总经理</w:t>
          </w:r>
          <w:r>
            <w:tab/>
          </w:r>
          <w:r>
            <w:fldChar w:fldCharType="begin"/>
          </w:r>
          <w:r>
            <w:instrText xml:space="preserve"> PAGEREF _Toc1394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4867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平台运维组</w:t>
          </w:r>
          <w:r>
            <w:tab/>
          </w:r>
          <w:r>
            <w:fldChar w:fldCharType="begin"/>
          </w:r>
          <w:r>
            <w:instrText xml:space="preserve"> PAGEREF _Toc8524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8D1D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综合办公室</w:t>
          </w:r>
          <w:r>
            <w:tab/>
          </w:r>
          <w:r>
            <w:fldChar w:fldCharType="begin"/>
          </w:r>
          <w:r>
            <w:instrText xml:space="preserve"> PAGEREF _Toc17757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7090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管控部</w:t>
          </w:r>
          <w:r>
            <w:tab/>
          </w:r>
          <w:r>
            <w:fldChar w:fldCharType="begin"/>
          </w:r>
          <w:r>
            <w:instrText xml:space="preserve"> PAGEREF _Toc24571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8366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研发组</w:t>
          </w:r>
          <w:r>
            <w:tab/>
          </w:r>
          <w:r>
            <w:fldChar w:fldCharType="begin"/>
          </w:r>
          <w:r>
            <w:instrText xml:space="preserve"> PAGEREF _Toc29343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CDD0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_Toc28267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70C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运维服务能力管理实施</w:t>
          </w:r>
          <w:r>
            <w:tab/>
          </w:r>
          <w:r>
            <w:fldChar w:fldCharType="begin"/>
          </w:r>
          <w:r>
            <w:instrText xml:space="preserve"> PAGEREF _Toc3662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DE4F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制定运维服务能力管理计划</w:t>
          </w:r>
          <w:r>
            <w:tab/>
          </w:r>
          <w:r>
            <w:fldChar w:fldCharType="begin"/>
          </w:r>
          <w:r>
            <w:instrText xml:space="preserve"> PAGEREF _Toc10628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10A9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制定运维服务KPI指标体系</w:t>
          </w:r>
          <w:r>
            <w:tab/>
          </w:r>
          <w:r>
            <w:fldChar w:fldCharType="begin"/>
          </w:r>
          <w:r>
            <w:instrText xml:space="preserve"> PAGEREF _Toc2355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0F3D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制定部门工作详细计划</w:t>
          </w:r>
          <w:r>
            <w:tab/>
          </w:r>
          <w:r>
            <w:fldChar w:fldCharType="begin"/>
          </w:r>
          <w:r>
            <w:instrText xml:space="preserve"> PAGEREF _Toc12386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7048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实施能力计划</w:t>
          </w:r>
          <w:r>
            <w:tab/>
          </w:r>
          <w:r>
            <w:fldChar w:fldCharType="begin"/>
          </w:r>
          <w:r>
            <w:instrText xml:space="preserve"> PAGEREF _Toc6543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69AC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跟踪检查</w:t>
          </w:r>
          <w:r>
            <w:tab/>
          </w:r>
          <w:r>
            <w:fldChar w:fldCharType="begin"/>
          </w:r>
          <w:r>
            <w:instrText xml:space="preserve"> PAGEREF _Toc28050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B9CA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评估及改进</w:t>
          </w:r>
          <w:r>
            <w:tab/>
          </w:r>
          <w:r>
            <w:fldChar w:fldCharType="begin"/>
          </w:r>
          <w:r>
            <w:instrText xml:space="preserve"> PAGEREF _Toc32728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96E6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_Toc10052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6B9E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_Toc15031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CB17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_Toc13806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A90399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035710F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A27A05C">
      <w:pPr>
        <w:pStyle w:val="28"/>
        <w:bidi w:val="0"/>
      </w:pPr>
      <w:bookmarkStart w:id="2" w:name="_Toc21611"/>
      <w:r>
        <w:t>目的</w:t>
      </w:r>
      <w:bookmarkEnd w:id="2"/>
    </w:p>
    <w:p w14:paraId="26E17068">
      <w:pPr>
        <w:pStyle w:val="12"/>
        <w:spacing w:before="229" w:line="361" w:lineRule="auto"/>
        <w:ind w:left="161" w:right="10" w:firstLine="423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pacing w:val="-1"/>
          <w:sz w:val="24"/>
          <w:szCs w:val="24"/>
          <w:lang w:val="en-US" w:eastAsia="zh-CN"/>
        </w:rPr>
        <w:t>为</w:t>
      </w:r>
      <w:r>
        <w:rPr>
          <w:spacing w:val="-1"/>
          <w:sz w:val="24"/>
          <w:szCs w:val="24"/>
        </w:rPr>
        <w:t>满足运维服务业务对人员</w:t>
      </w:r>
      <w:r>
        <w:rPr>
          <w:spacing w:val="-2"/>
          <w:sz w:val="24"/>
          <w:szCs w:val="24"/>
        </w:rPr>
        <w:t>、技术、资源</w:t>
      </w:r>
      <w:r>
        <w:rPr>
          <w:rFonts w:hint="eastAsia" w:eastAsia="宋体"/>
          <w:spacing w:val="-2"/>
          <w:sz w:val="24"/>
          <w:szCs w:val="24"/>
          <w:lang w:eastAsia="zh-CN"/>
        </w:rPr>
        <w:t>、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过程、应急和交付管理</w:t>
      </w:r>
      <w:r>
        <w:rPr>
          <w:spacing w:val="-2"/>
          <w:sz w:val="24"/>
          <w:szCs w:val="24"/>
        </w:rPr>
        <w:t>的要</w:t>
      </w:r>
      <w:r>
        <w:rPr>
          <w:spacing w:val="-3"/>
          <w:sz w:val="24"/>
          <w:szCs w:val="24"/>
        </w:rPr>
        <w:t>求，为运维服务活动的有效实施提供目标和方向，进而保证组织的服务能力管理</w:t>
      </w:r>
      <w:r>
        <w:rPr>
          <w:spacing w:val="-2"/>
          <w:sz w:val="24"/>
          <w:szCs w:val="24"/>
        </w:rPr>
        <w:t>得到持续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提升，特制定此制度</w:t>
      </w:r>
    </w:p>
    <w:p w14:paraId="122B2E66">
      <w:pPr>
        <w:pStyle w:val="28"/>
        <w:bidi w:val="0"/>
        <w:rPr>
          <w:rFonts w:hint="eastAsia"/>
          <w:lang w:val="en-US" w:eastAsia="zh-CN"/>
        </w:rPr>
      </w:pPr>
      <w:bookmarkStart w:id="3" w:name="_Toc25016"/>
      <w:r>
        <w:rPr>
          <w:rFonts w:hint="eastAsia"/>
          <w:lang w:val="en-US" w:eastAsia="zh-CN"/>
        </w:rPr>
        <w:t>原则</w:t>
      </w:r>
      <w:bookmarkEnd w:id="3"/>
    </w:p>
    <w:p w14:paraId="3AD206A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</w:t>
      </w:r>
    </w:p>
    <w:p w14:paraId="13F9FE6C">
      <w:pPr>
        <w:pStyle w:val="2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一切运维活动的最终目标都是为了支撑业务、创造价值，而不是单纯的技术实现。运维的优先级和决策应由业务需求驱动。</w:t>
      </w:r>
    </w:p>
    <w:p w14:paraId="368F2EF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流程化与标准化原则：</w:t>
      </w:r>
    </w:p>
    <w:p w14:paraId="3E0CF240">
      <w:pPr>
        <w:pStyle w:val="2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通过建立规范化的流程（如事件、变更、问题管理等）和操作标准，确保服务交付的稳定性和效率，减少因人而异的随机性。</w:t>
      </w:r>
    </w:p>
    <w:p w14:paraId="3A62055E">
      <w:pPr>
        <w:pStyle w:val="28"/>
        <w:bidi w:val="0"/>
      </w:pPr>
      <w:bookmarkStart w:id="4" w:name="_Toc1685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7997B553">
      <w:pPr>
        <w:pStyle w:val="29"/>
        <w:rPr>
          <w:rFonts w:hint="eastAsia" w:eastAsia="宋体"/>
          <w:lang w:eastAsia="zh-CN"/>
        </w:rPr>
      </w:pPr>
      <w:r>
        <w:rPr>
          <w:sz w:val="24"/>
          <w:szCs w:val="24"/>
        </w:rPr>
        <w:t>本制度适用于</w:t>
      </w:r>
      <w:r>
        <w:rPr>
          <w:rFonts w:hint="eastAsia"/>
          <w:spacing w:val="-1"/>
          <w:sz w:val="24"/>
          <w:szCs w:val="24"/>
          <w:lang w:val="en-US" w:eastAsia="zh-CN"/>
        </w:rPr>
        <w:t>运维</w:t>
      </w:r>
      <w:r>
        <w:rPr>
          <w:spacing w:val="-1"/>
          <w:sz w:val="24"/>
          <w:szCs w:val="24"/>
        </w:rPr>
        <w:t>管理体</w:t>
      </w:r>
      <w:r>
        <w:rPr>
          <w:spacing w:val="-2"/>
          <w:sz w:val="24"/>
          <w:szCs w:val="24"/>
        </w:rPr>
        <w:t>系的能力管理活动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 w14:paraId="1F5A9A33">
      <w:pPr>
        <w:pStyle w:val="28"/>
        <w:bidi w:val="0"/>
        <w:rPr>
          <w:rFonts w:hint="eastAsia"/>
          <w:lang w:val="en-US" w:eastAsia="zh-CN"/>
        </w:rPr>
      </w:pPr>
      <w:bookmarkStart w:id="5" w:name="_Toc24597"/>
      <w:r>
        <w:rPr>
          <w:rFonts w:hint="eastAsia"/>
          <w:lang w:val="en-US" w:eastAsia="zh-CN"/>
        </w:rPr>
        <w:t>岗位职责</w:t>
      </w:r>
      <w:bookmarkEnd w:id="5"/>
    </w:p>
    <w:p w14:paraId="11735751">
      <w:pPr>
        <w:pStyle w:val="30"/>
        <w:bidi w:val="0"/>
      </w:pPr>
      <w:bookmarkStart w:id="6" w:name="_Toc1394"/>
      <w:r>
        <w:t>公司总经理</w:t>
      </w:r>
      <w:bookmarkEnd w:id="6"/>
    </w:p>
    <w:p w14:paraId="71BC5734">
      <w:pPr>
        <w:pStyle w:val="12"/>
        <w:numPr>
          <w:ilvl w:val="0"/>
          <w:numId w:val="3"/>
        </w:numPr>
        <w:spacing w:before="229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协调各部门及服务能力计划活动过程中需要的资源。</w:t>
      </w:r>
    </w:p>
    <w:p w14:paraId="2FFAA524">
      <w:pPr>
        <w:pStyle w:val="12"/>
        <w:numPr>
          <w:ilvl w:val="0"/>
          <w:numId w:val="3"/>
        </w:numPr>
        <w:spacing w:before="184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对年度服务能力计划进行审批。</w:t>
      </w:r>
    </w:p>
    <w:p w14:paraId="7BDA9C50">
      <w:pPr>
        <w:pStyle w:val="30"/>
        <w:bidi w:val="0"/>
      </w:pPr>
      <w:bookmarkStart w:id="7" w:name="bookmark6"/>
      <w:bookmarkEnd w:id="7"/>
      <w:bookmarkStart w:id="8" w:name="_Toc8524"/>
      <w:r>
        <w:t>平台运维组</w:t>
      </w:r>
      <w:bookmarkEnd w:id="8"/>
    </w:p>
    <w:p w14:paraId="5361302A">
      <w:pPr>
        <w:pStyle w:val="12"/>
        <w:numPr>
          <w:ilvl w:val="0"/>
          <w:numId w:val="4"/>
        </w:numPr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负责组织相关部门进行年度服务能</w:t>
      </w:r>
      <w:r>
        <w:rPr>
          <w:spacing w:val="-2"/>
          <w:sz w:val="24"/>
          <w:szCs w:val="24"/>
        </w:rPr>
        <w:t>力计划的编制。</w:t>
      </w:r>
    </w:p>
    <w:p w14:paraId="7F954472">
      <w:pPr>
        <w:pStyle w:val="12"/>
        <w:numPr>
          <w:ilvl w:val="0"/>
          <w:numId w:val="4"/>
        </w:numPr>
        <w:spacing w:before="183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 w14:paraId="377392DB">
      <w:pPr>
        <w:pStyle w:val="30"/>
        <w:bidi w:val="0"/>
      </w:pPr>
      <w:bookmarkStart w:id="9" w:name="bookmark7"/>
      <w:bookmarkEnd w:id="9"/>
      <w:bookmarkStart w:id="10" w:name="_Toc17757"/>
      <w:r>
        <w:rPr>
          <w:rFonts w:hint="eastAsia"/>
          <w:lang w:val="en-US" w:eastAsia="zh-CN"/>
        </w:rPr>
        <w:t>综合办公室</w:t>
      </w:r>
      <w:bookmarkEnd w:id="10"/>
    </w:p>
    <w:p w14:paraId="3D18533A">
      <w:pPr>
        <w:pStyle w:val="12"/>
        <w:numPr>
          <w:ilvl w:val="0"/>
          <w:numId w:val="5"/>
        </w:numPr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负责年度服务能力计划中的人员内容编制。</w:t>
      </w:r>
    </w:p>
    <w:p w14:paraId="4B906154">
      <w:pPr>
        <w:pStyle w:val="12"/>
        <w:numPr>
          <w:ilvl w:val="0"/>
          <w:numId w:val="5"/>
        </w:numPr>
        <w:spacing w:before="183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 w14:paraId="7A2CE76D">
      <w:pPr>
        <w:pStyle w:val="30"/>
        <w:bidi w:val="0"/>
      </w:pPr>
      <w:bookmarkStart w:id="11" w:name="bookmark8"/>
      <w:bookmarkEnd w:id="11"/>
      <w:bookmarkStart w:id="12" w:name="_Toc24571"/>
      <w:r>
        <w:rPr>
          <w:rFonts w:hint="eastAsia"/>
          <w:lang w:val="en-US" w:eastAsia="zh-CN"/>
        </w:rPr>
        <w:t>管控部</w:t>
      </w:r>
      <w:bookmarkEnd w:id="12"/>
    </w:p>
    <w:p w14:paraId="243E6C9E">
      <w:pPr>
        <w:pStyle w:val="12"/>
        <w:numPr>
          <w:ilvl w:val="0"/>
          <w:numId w:val="6"/>
        </w:numPr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负责年度服务能力计划工作的执行跟踪。</w:t>
      </w:r>
    </w:p>
    <w:p w14:paraId="09D699B6">
      <w:pPr>
        <w:pStyle w:val="12"/>
        <w:numPr>
          <w:ilvl w:val="0"/>
          <w:numId w:val="6"/>
        </w:numPr>
        <w:spacing w:before="183" w:line="218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负责年度服务能力执行效果的评估及提</w:t>
      </w:r>
      <w:r>
        <w:rPr>
          <w:spacing w:val="-2"/>
          <w:sz w:val="24"/>
          <w:szCs w:val="24"/>
        </w:rPr>
        <w:t>出改进建议。</w:t>
      </w:r>
    </w:p>
    <w:p w14:paraId="7D493972">
      <w:pPr>
        <w:pStyle w:val="30"/>
        <w:bidi w:val="0"/>
      </w:pPr>
      <w:bookmarkStart w:id="13" w:name="bookmark9"/>
      <w:bookmarkEnd w:id="13"/>
      <w:bookmarkStart w:id="14" w:name="_Toc29343"/>
      <w:r>
        <w:rPr>
          <w:rFonts w:hint="eastAsia"/>
          <w:lang w:val="en-US" w:eastAsia="zh-CN"/>
        </w:rPr>
        <w:t>研发组</w:t>
      </w:r>
      <w:bookmarkEnd w:id="14"/>
    </w:p>
    <w:p w14:paraId="7F8FE273">
      <w:pPr>
        <w:pStyle w:val="12"/>
        <w:numPr>
          <w:ilvl w:val="0"/>
          <w:numId w:val="7"/>
        </w:numPr>
        <w:spacing w:before="232" w:line="219" w:lineRule="auto"/>
        <w:ind w:left="425" w:leftChars="0" w:hanging="425" w:firstLineChars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负责年度服务能力计划工作中技术内容的编制。</w:t>
      </w:r>
    </w:p>
    <w:p w14:paraId="35FD1AA0">
      <w:pPr>
        <w:pStyle w:val="12"/>
        <w:numPr>
          <w:ilvl w:val="0"/>
          <w:numId w:val="7"/>
        </w:numPr>
        <w:spacing w:before="232" w:line="219" w:lineRule="auto"/>
        <w:ind w:left="425" w:leftChars="0" w:hanging="425" w:firstLineChars="0"/>
        <w:rPr>
          <w:rFonts w:hint="eastAsia"/>
          <w:spacing w:val="-2"/>
          <w:sz w:val="24"/>
          <w:szCs w:val="24"/>
          <w:lang w:val="en-US" w:eastAsia="zh-CN"/>
        </w:rPr>
      </w:pPr>
      <w:r>
        <w:rPr>
          <w:spacing w:val="-2"/>
          <w:sz w:val="24"/>
          <w:szCs w:val="24"/>
        </w:rPr>
        <w:t>负责年度服务能力计划中技术相关工作的执行</w:t>
      </w:r>
      <w:r>
        <w:rPr>
          <w:rFonts w:hint="eastAsia" w:eastAsia="宋体"/>
          <w:spacing w:val="-2"/>
          <w:sz w:val="24"/>
          <w:szCs w:val="24"/>
          <w:lang w:eastAsia="zh-CN"/>
        </w:rPr>
        <w:t>。</w:t>
      </w:r>
    </w:p>
    <w:p w14:paraId="776F3495">
      <w:pPr>
        <w:pStyle w:val="30"/>
        <w:bidi w:val="0"/>
        <w:rPr>
          <w:rFonts w:hint="eastAsia"/>
          <w:lang w:val="en-US" w:eastAsia="zh-CN"/>
        </w:rPr>
      </w:pPr>
      <w:bookmarkStart w:id="15" w:name="_Toc28267"/>
      <w:r>
        <w:rPr>
          <w:rFonts w:hint="eastAsia"/>
          <w:lang w:val="en-US" w:eastAsia="zh-CN"/>
        </w:rPr>
        <w:t>采购部</w:t>
      </w:r>
      <w:bookmarkEnd w:id="15"/>
    </w:p>
    <w:p w14:paraId="374A2FD0">
      <w:pPr>
        <w:pStyle w:val="12"/>
        <w:numPr>
          <w:ilvl w:val="0"/>
          <w:numId w:val="8"/>
        </w:numPr>
        <w:spacing w:before="232" w:line="360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内容的编制。</w:t>
      </w:r>
    </w:p>
    <w:p w14:paraId="277A3E19">
      <w:pPr>
        <w:pStyle w:val="29"/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spacing w:val="-2"/>
          <w:sz w:val="24"/>
          <w:szCs w:val="24"/>
        </w:rPr>
        <w:t>负责年度服务能力计划中</w:t>
      </w:r>
      <w:r>
        <w:rPr>
          <w:rFonts w:hint="eastAsia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相关工作的执行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 w14:paraId="3AF6653D">
      <w:pPr>
        <w:pStyle w:val="28"/>
        <w:bidi w:val="0"/>
        <w:rPr>
          <w:rFonts w:hint="default"/>
          <w:lang w:val="en-US" w:eastAsia="zh-CN"/>
        </w:rPr>
      </w:pPr>
      <w:bookmarkStart w:id="16" w:name="_Toc3662"/>
      <w:r>
        <w:rPr>
          <w:rFonts w:hint="eastAsia"/>
          <w:lang w:val="en-US" w:eastAsia="zh-CN"/>
        </w:rPr>
        <w:t>运维服务能力管理实施</w:t>
      </w:r>
      <w:bookmarkEnd w:id="16"/>
    </w:p>
    <w:p w14:paraId="1B852409">
      <w:pPr>
        <w:pStyle w:val="30"/>
        <w:bidi w:val="0"/>
      </w:pPr>
      <w:bookmarkStart w:id="17" w:name="bookmark11"/>
      <w:bookmarkEnd w:id="17"/>
      <w:bookmarkStart w:id="18" w:name="_Toc10628"/>
      <w:r>
        <w:t>制定运维服务能力管理计划</w:t>
      </w:r>
      <w:bookmarkEnd w:id="18"/>
    </w:p>
    <w:p w14:paraId="0CF006D3">
      <w:pPr>
        <w:pStyle w:val="29"/>
        <w:bidi w:val="0"/>
      </w:pPr>
      <w:r>
        <w:rPr>
          <w:rFonts w:hint="eastAsia"/>
          <w:lang w:val="en-US" w:eastAsia="zh-CN"/>
        </w:rPr>
        <w:t>管控部</w:t>
      </w:r>
      <w:r>
        <w:t>在每年12月份组织</w:t>
      </w:r>
      <w:r>
        <w:rPr>
          <w:rFonts w:hint="eastAsia"/>
          <w:lang w:eastAsia="zh-CN"/>
        </w:rPr>
        <w:t>综合办公室</w:t>
      </w:r>
      <w:r>
        <w:t>、</w:t>
      </w:r>
      <w:r>
        <w:rPr>
          <w:rFonts w:hint="eastAsia"/>
          <w:lang w:val="en-US" w:eastAsia="zh-CN"/>
        </w:rPr>
        <w:t>平台运维组</w:t>
      </w:r>
      <w:r>
        <w:t>等相关部门制定下一年度的《运维服务能力管理计划》，经会议讨论通过后报公司总经理审批。</w:t>
      </w:r>
    </w:p>
    <w:p w14:paraId="1184598B">
      <w:pPr>
        <w:pStyle w:val="2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《运维服务能力管理计划》应包含：</w:t>
      </w:r>
    </w:p>
    <w:p w14:paraId="270C3AB2">
      <w:pPr>
        <w:pStyle w:val="12"/>
        <w:numPr>
          <w:ilvl w:val="0"/>
          <w:numId w:val="9"/>
        </w:numPr>
        <w:spacing w:before="195" w:line="220" w:lineRule="auto"/>
        <w:ind w:left="425" w:leftChars="0" w:hanging="425" w:firstLineChars="0"/>
        <w:rPr>
          <w:sz w:val="22"/>
          <w:szCs w:val="22"/>
        </w:rPr>
      </w:pPr>
      <w:r>
        <w:rPr>
          <w:rFonts w:hint="eastAsia" w:eastAsia="宋体"/>
          <w:spacing w:val="-2"/>
          <w:sz w:val="22"/>
          <w:szCs w:val="22"/>
          <w:lang w:val="en-US" w:eastAsia="zh-CN"/>
        </w:rPr>
        <w:t>本</w:t>
      </w:r>
      <w:r>
        <w:rPr>
          <w:spacing w:val="-2"/>
          <w:sz w:val="22"/>
          <w:szCs w:val="22"/>
        </w:rPr>
        <w:t>年度工作回顾及存在问题。</w:t>
      </w:r>
    </w:p>
    <w:p w14:paraId="2A53B753">
      <w:pPr>
        <w:pStyle w:val="12"/>
        <w:numPr>
          <w:ilvl w:val="0"/>
          <w:numId w:val="9"/>
        </w:numPr>
        <w:spacing w:before="206" w:line="220" w:lineRule="auto"/>
        <w:ind w:left="425" w:leftChars="0" w:hanging="425" w:firstLineChars="0"/>
        <w:rPr>
          <w:sz w:val="22"/>
          <w:szCs w:val="22"/>
        </w:rPr>
      </w:pPr>
      <w:r>
        <w:rPr>
          <w:spacing w:val="-1"/>
          <w:sz w:val="22"/>
          <w:szCs w:val="22"/>
        </w:rPr>
        <w:t>下年度公司在人员、技术、资源</w:t>
      </w:r>
      <w:r>
        <w:rPr>
          <w:rFonts w:hint="eastAsia" w:eastAsia="宋体"/>
          <w:spacing w:val="-1"/>
          <w:sz w:val="22"/>
          <w:szCs w:val="22"/>
          <w:lang w:eastAsia="zh-CN"/>
        </w:rPr>
        <w:t>、</w:t>
      </w:r>
      <w:r>
        <w:rPr>
          <w:spacing w:val="-1"/>
          <w:sz w:val="22"/>
          <w:szCs w:val="22"/>
        </w:rPr>
        <w:t>过程</w:t>
      </w:r>
      <w:r>
        <w:rPr>
          <w:rFonts w:hint="eastAsia" w:eastAsia="宋体"/>
          <w:spacing w:val="-1"/>
          <w:sz w:val="22"/>
          <w:szCs w:val="22"/>
          <w:lang w:eastAsia="zh-CN"/>
        </w:rPr>
        <w:t>、</w:t>
      </w:r>
      <w:r>
        <w:rPr>
          <w:rFonts w:hint="eastAsia" w:eastAsia="宋体"/>
          <w:spacing w:val="-1"/>
          <w:sz w:val="22"/>
          <w:szCs w:val="22"/>
          <w:lang w:val="en-US" w:eastAsia="zh-CN"/>
        </w:rPr>
        <w:t>交付和应急</w:t>
      </w:r>
      <w:bookmarkStart w:id="34" w:name="_GoBack"/>
      <w:bookmarkEnd w:id="34"/>
      <w:r>
        <w:rPr>
          <w:spacing w:val="-1"/>
          <w:sz w:val="22"/>
          <w:szCs w:val="22"/>
        </w:rPr>
        <w:t>领域的能力规划。</w:t>
      </w:r>
    </w:p>
    <w:p w14:paraId="1833BA43">
      <w:pPr>
        <w:pStyle w:val="12"/>
        <w:numPr>
          <w:ilvl w:val="0"/>
          <w:numId w:val="9"/>
        </w:numPr>
        <w:spacing w:before="205" w:line="220" w:lineRule="auto"/>
        <w:ind w:left="425" w:leftChars="0" w:hanging="425" w:firstLineChars="0"/>
        <w:rPr>
          <w:sz w:val="22"/>
          <w:szCs w:val="22"/>
        </w:rPr>
      </w:pPr>
      <w:r>
        <w:rPr>
          <w:spacing w:val="-1"/>
          <w:sz w:val="22"/>
          <w:szCs w:val="22"/>
        </w:rPr>
        <w:t>下年度服务能力计划执行情况的跟</w:t>
      </w:r>
      <w:r>
        <w:rPr>
          <w:spacing w:val="-2"/>
          <w:sz w:val="22"/>
          <w:szCs w:val="22"/>
        </w:rPr>
        <w:t>踪计划。</w:t>
      </w:r>
    </w:p>
    <w:p w14:paraId="6508BEFF">
      <w:pPr>
        <w:pStyle w:val="30"/>
        <w:bidi w:val="0"/>
      </w:pPr>
      <w:bookmarkStart w:id="19" w:name="bookmark12"/>
      <w:bookmarkEnd w:id="19"/>
      <w:bookmarkStart w:id="20" w:name="_Toc2355"/>
      <w:r>
        <w:t>制定运维服务KPI指标体系</w:t>
      </w:r>
      <w:bookmarkEnd w:id="20"/>
    </w:p>
    <w:p w14:paraId="4AF3F0EC">
      <w:pPr>
        <w:pStyle w:val="29"/>
        <w:bidi w:val="0"/>
      </w:pPr>
      <w:r>
        <w:rPr>
          <w:rFonts w:hint="eastAsia"/>
          <w:lang w:eastAsia="zh-CN"/>
        </w:rPr>
        <w:t>管控部</w:t>
      </w:r>
      <w:r>
        <w:t>根据《运维服务能力管理计划》组织</w:t>
      </w:r>
      <w:r>
        <w:rPr>
          <w:rFonts w:hint="eastAsia"/>
          <w:lang w:eastAsia="zh-CN"/>
        </w:rPr>
        <w:t>综合办公室</w:t>
      </w:r>
      <w:r>
        <w:t>、平台运维组、</w:t>
      </w:r>
      <w:r>
        <w:rPr>
          <w:rFonts w:hint="eastAsia"/>
          <w:lang w:eastAsia="zh-CN"/>
        </w:rPr>
        <w:t>研发组、</w:t>
      </w:r>
      <w:r>
        <w:rPr>
          <w:rFonts w:hint="eastAsia"/>
          <w:lang w:val="en-US" w:eastAsia="zh-CN"/>
        </w:rPr>
        <w:t>采购部</w:t>
      </w:r>
      <w:r>
        <w:t>等相关部门共同制定《</w:t>
      </w:r>
      <w:r>
        <w:rPr>
          <w:rFonts w:hint="eastAsia"/>
          <w:lang w:val="en-US" w:eastAsia="zh-CN"/>
        </w:rPr>
        <w:t>运维服务能力指标体系</w:t>
      </w:r>
      <w:r>
        <w:t>》。</w:t>
      </w:r>
    </w:p>
    <w:p w14:paraId="78420FAC">
      <w:pPr>
        <w:pStyle w:val="30"/>
        <w:bidi w:val="0"/>
      </w:pPr>
      <w:bookmarkStart w:id="21" w:name="bookmark13"/>
      <w:bookmarkEnd w:id="21"/>
      <w:bookmarkStart w:id="22" w:name="_Toc12386"/>
      <w:r>
        <w:t>制定部门工作详细计划</w:t>
      </w:r>
      <w:bookmarkEnd w:id="22"/>
    </w:p>
    <w:p w14:paraId="668FE9B9">
      <w:pPr>
        <w:pStyle w:val="29"/>
        <w:bidi w:val="0"/>
      </w:pPr>
      <w:r>
        <w:rPr>
          <w:rFonts w:hint="eastAsia"/>
          <w:lang w:eastAsia="zh-CN"/>
        </w:rPr>
        <w:t>综合办公室</w:t>
      </w:r>
      <w:r>
        <w:t>、平台运维组、</w:t>
      </w:r>
      <w:r>
        <w:rPr>
          <w:rFonts w:hint="eastAsia"/>
          <w:lang w:eastAsia="zh-CN"/>
        </w:rPr>
        <w:t>研发组、</w:t>
      </w:r>
      <w:r>
        <w:rPr>
          <w:rFonts w:hint="eastAsia"/>
          <w:lang w:val="en-US" w:eastAsia="zh-CN"/>
        </w:rPr>
        <w:t>管控部和采购部</w:t>
      </w:r>
      <w:r>
        <w:t>等相关部门根据《</w:t>
      </w:r>
      <w:r>
        <w:rPr>
          <w:rFonts w:hint="eastAsia"/>
          <w:lang w:val="en-US" w:eastAsia="zh-CN"/>
        </w:rPr>
        <w:t>运维服务能力指标体系</w:t>
      </w:r>
      <w:r>
        <w:t>》制定自己部门的详细工作计划。</w:t>
      </w:r>
    </w:p>
    <w:p w14:paraId="31646F21">
      <w:pPr>
        <w:pStyle w:val="30"/>
        <w:bidi w:val="0"/>
      </w:pPr>
      <w:bookmarkStart w:id="23" w:name="_Toc6543"/>
      <w:r>
        <w:t>实施能力计划</w:t>
      </w:r>
      <w:bookmarkEnd w:id="23"/>
    </w:p>
    <w:p w14:paraId="0E8A5F23">
      <w:pPr>
        <w:pStyle w:val="29"/>
        <w:bidi w:val="0"/>
      </w:pPr>
      <w:r>
        <w:rPr>
          <w:rFonts w:hint="eastAsia"/>
          <w:lang w:eastAsia="zh-CN"/>
        </w:rPr>
        <w:t>综合办公室</w:t>
      </w:r>
      <w:r>
        <w:t>、平台运维组、</w:t>
      </w:r>
      <w:r>
        <w:rPr>
          <w:rFonts w:hint="eastAsia"/>
          <w:lang w:eastAsia="zh-CN"/>
        </w:rPr>
        <w:t>研发组、</w:t>
      </w:r>
      <w:r>
        <w:rPr>
          <w:rFonts w:hint="eastAsia"/>
          <w:lang w:val="en-US" w:eastAsia="zh-CN"/>
        </w:rPr>
        <w:t>管控部和采购部</w:t>
      </w:r>
      <w:r>
        <w:t>等相关部门按照自己部门的详细工作计划进行实施。</w:t>
      </w:r>
    </w:p>
    <w:p w14:paraId="40167BD0">
      <w:pPr>
        <w:pStyle w:val="30"/>
        <w:bidi w:val="0"/>
      </w:pPr>
      <w:bookmarkStart w:id="24" w:name="bookmark15"/>
      <w:bookmarkEnd w:id="24"/>
      <w:bookmarkStart w:id="25" w:name="_Toc28050"/>
      <w:r>
        <w:t>跟踪检查</w:t>
      </w:r>
      <w:bookmarkEnd w:id="25"/>
    </w:p>
    <w:p w14:paraId="0A3AB8AE">
      <w:pPr>
        <w:pStyle w:val="29"/>
        <w:bidi w:val="0"/>
      </w:pPr>
      <w:r>
        <w:rPr>
          <w:rFonts w:hint="eastAsia"/>
          <w:lang w:eastAsia="zh-CN"/>
        </w:rPr>
        <w:t>管控部</w:t>
      </w:r>
      <w:r>
        <w:t>根据《</w:t>
      </w:r>
      <w:r>
        <w:rPr>
          <w:rFonts w:hint="eastAsia"/>
          <w:lang w:val="en-US" w:eastAsia="zh-CN"/>
        </w:rPr>
        <w:t>运维服务能力指标体系</w:t>
      </w:r>
      <w:r>
        <w:t>》和《</w:t>
      </w:r>
      <w:r>
        <w:rPr>
          <w:rFonts w:hint="eastAsia"/>
          <w:lang w:val="en-US" w:eastAsia="zh-CN"/>
        </w:rPr>
        <w:t>运维服务能力指标体系</w:t>
      </w:r>
      <w:r>
        <w:t>跟踪表》进行跟踪检查。</w:t>
      </w:r>
    </w:p>
    <w:p w14:paraId="51F5EE25">
      <w:pPr>
        <w:pStyle w:val="30"/>
        <w:bidi w:val="0"/>
      </w:pPr>
      <w:bookmarkStart w:id="26" w:name="bookmark16"/>
      <w:bookmarkEnd w:id="26"/>
      <w:bookmarkStart w:id="27" w:name="_Toc32728"/>
      <w:r>
        <w:t>评估及改进</w:t>
      </w:r>
      <w:bookmarkEnd w:id="27"/>
    </w:p>
    <w:p w14:paraId="3FBD7EA8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每年12月份，管控部对年度服务能力执行效果进行评估总结，并提出改进建议，出具《运维服务能力管理报告》</w:t>
      </w:r>
    </w:p>
    <w:p w14:paraId="002AC986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0052"/>
      <w:bookmarkStart w:id="30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</w:p>
    <w:p w14:paraId="23B1EFF4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管控部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7995266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0F2BAD5">
      <w:pPr>
        <w:pStyle w:val="28"/>
        <w:bidi w:val="0"/>
        <w:rPr>
          <w:rFonts w:hint="default"/>
          <w:lang w:val="en-US" w:eastAsia="zh-CN"/>
        </w:rPr>
      </w:pPr>
      <w:bookmarkStart w:id="31" w:name="bookmark14"/>
      <w:bookmarkEnd w:id="31"/>
      <w:bookmarkStart w:id="32" w:name="_Toc15031"/>
      <w:r>
        <w:rPr>
          <w:rFonts w:hint="eastAsia"/>
          <w:lang w:val="en-US" w:eastAsia="zh-CN"/>
        </w:rPr>
        <w:t>附件</w:t>
      </w:r>
      <w:bookmarkEnd w:id="32"/>
    </w:p>
    <w:p w14:paraId="638AF9F5">
      <w:pPr>
        <w:pStyle w:val="28"/>
        <w:bidi w:val="0"/>
        <w:rPr>
          <w:rFonts w:hint="eastAsia"/>
          <w:lang w:val="en-US" w:eastAsia="zh-CN"/>
        </w:rPr>
      </w:pPr>
      <w:bookmarkStart w:id="33" w:name="_Toc13806"/>
      <w:r>
        <w:rPr>
          <w:rFonts w:hint="eastAsia"/>
          <w:lang w:val="en-US" w:eastAsia="zh-CN"/>
        </w:rPr>
        <w:t>记录</w:t>
      </w:r>
      <w:bookmarkEnd w:id="33"/>
    </w:p>
    <w:p w14:paraId="1C68F3A2">
      <w:pPr>
        <w:pStyle w:val="40"/>
        <w:bidi w:val="0"/>
      </w:pPr>
      <w:r>
        <w:t>《运维服务能力管理计划》</w:t>
      </w:r>
    </w:p>
    <w:p w14:paraId="65407EFB">
      <w:pPr>
        <w:pStyle w:val="40"/>
        <w:bidi w:val="0"/>
      </w:pPr>
      <w:r>
        <w:t>《运维</w:t>
      </w:r>
      <w:r>
        <w:rPr>
          <w:rFonts w:hint="eastAsia"/>
          <w:lang w:val="en-US" w:eastAsia="zh-CN"/>
        </w:rPr>
        <w:t>服务能力</w:t>
      </w:r>
      <w:r>
        <w:t>指标体系》</w:t>
      </w:r>
    </w:p>
    <w:p w14:paraId="45479C09">
      <w:pPr>
        <w:pStyle w:val="40"/>
        <w:bidi w:val="0"/>
      </w:pPr>
      <w:r>
        <w:t>《运维服务</w:t>
      </w:r>
      <w:r>
        <w:rPr>
          <w:rFonts w:hint="eastAsia"/>
          <w:lang w:val="en-US" w:eastAsia="zh-CN"/>
        </w:rPr>
        <w:t>能力</w:t>
      </w:r>
      <w:r>
        <w:t>指标体系跟踪表》</w:t>
      </w:r>
    </w:p>
    <w:p w14:paraId="218672CA">
      <w:pPr>
        <w:pStyle w:val="40"/>
        <w:bidi w:val="0"/>
        <w:rPr>
          <w:rFonts w:hint="eastAsia"/>
          <w:lang w:val="en-US" w:eastAsia="zh-CN"/>
        </w:rPr>
      </w:pPr>
      <w:r>
        <w:t>《运维服务能力管理报告》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DFC4D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7D13B28"/>
    <w:multiLevelType w:val="singleLevel"/>
    <w:tmpl w:val="97D13B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D4FEA89"/>
    <w:multiLevelType w:val="singleLevel"/>
    <w:tmpl w:val="9D4FEA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93219D"/>
    <w:multiLevelType w:val="singleLevel"/>
    <w:tmpl w:val="9D9321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5403E5"/>
    <w:multiLevelType w:val="singleLevel"/>
    <w:tmpl w:val="DB5403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BAEE6C9"/>
    <w:multiLevelType w:val="singleLevel"/>
    <w:tmpl w:val="FBAEE6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BF71FDC"/>
    <w:multiLevelType w:val="singleLevel"/>
    <w:tmpl w:val="1BF71F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EB7E365"/>
    <w:multiLevelType w:val="singleLevel"/>
    <w:tmpl w:val="2EB7E3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AEEBF3E"/>
    <w:multiLevelType w:val="singleLevel"/>
    <w:tmpl w:val="4AEEBF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A01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3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1302</Words>
  <Characters>1409</Characters>
  <Lines>0</Lines>
  <Paragraphs>0</Paragraphs>
  <TotalTime>1</TotalTime>
  <ScaleCrop>false</ScaleCrop>
  <LinksUpToDate>false</LinksUpToDate>
  <CharactersWithSpaces>1495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2025-12-27T15:50:26Z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