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202FB">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09</w:t>
      </w:r>
    </w:p>
    <w:p w14:paraId="30F4DD1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84D0A7C">
      <w:pPr>
        <w:pStyle w:val="24"/>
        <w:keepNext w:val="0"/>
        <w:keepLines w:val="0"/>
        <w:pageBreakBefore w:val="0"/>
        <w:widowControl w:val="0"/>
        <w:wordWrap/>
        <w:overflowPunct/>
        <w:bidi w:val="0"/>
      </w:pPr>
      <w:bookmarkStart w:id="0" w:name="_Toc31439"/>
      <w:r>
        <w:rPr>
          <w:rFonts w:hint="eastAsia"/>
          <w:lang w:val="en-US" w:eastAsia="zh-CN"/>
        </w:rPr>
        <w:t>青岛瑞源工程集团有限公司</w:t>
      </w:r>
      <w:bookmarkEnd w:id="0"/>
    </w:p>
    <w:p w14:paraId="0B64A373">
      <w:pPr>
        <w:pStyle w:val="25"/>
        <w:keepNext w:val="0"/>
        <w:keepLines w:val="0"/>
        <w:pageBreakBefore w:val="0"/>
        <w:widowControl w:val="0"/>
        <w:wordWrap/>
        <w:overflowPunct/>
        <w:bidi w:val="0"/>
        <w:rPr>
          <w:rFonts w:hint="default"/>
          <w:lang w:val="en-US"/>
        </w:rPr>
      </w:pPr>
      <w:bookmarkStart w:id="1" w:name="_Toc18914"/>
      <w:r>
        <w:rPr>
          <w:rFonts w:hint="eastAsia"/>
          <w:lang w:val="en-US" w:eastAsia="zh-CN"/>
        </w:rPr>
        <w:t>服务可用性和连续性管理制度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9765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D0A4D63">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3566B44C">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41D4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515B0C0">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1389968540"/>
                <w:vertAlign w:val="baseline"/>
                <w:lang w:val="en-US" w:eastAsia="zh-CN"/>
              </w:rPr>
              <w:t>宋</w:t>
            </w:r>
            <w:r>
              <w:rPr>
                <w:rFonts w:hint="eastAsia"/>
                <w:spacing w:val="0"/>
                <w:kern w:val="0"/>
                <w:u w:val="single"/>
                <w:fitText w:val="600" w:id="1389968540"/>
                <w:vertAlign w:val="baseline"/>
                <w:lang w:val="en-US" w:eastAsia="zh-CN"/>
              </w:rPr>
              <w:t>振</w:t>
            </w:r>
          </w:p>
        </w:tc>
        <w:tc>
          <w:tcPr>
            <w:tcW w:w="4261" w:type="dxa"/>
            <w:shd w:val="clear" w:color="auto" w:fill="auto"/>
          </w:tcPr>
          <w:p w14:paraId="06B96088">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E4EE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931B77A">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189434FE">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239D4C9">
      <w:pPr>
        <w:keepNext w:val="0"/>
        <w:keepLines w:val="0"/>
        <w:pageBreakBefore w:val="0"/>
        <w:widowControl w:val="0"/>
        <w:wordWrap/>
        <w:overflowPunct/>
        <w:bidi w:val="0"/>
      </w:pPr>
      <w:r>
        <w:br w:type="page"/>
      </w:r>
    </w:p>
    <w:p w14:paraId="515D0158">
      <w:pPr>
        <w:keepNext w:val="0"/>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2BCCC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5591DD6">
            <w:pPr>
              <w:keepNext w:val="0"/>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60A481D">
            <w:pPr>
              <w:keepNext w:val="0"/>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0C89A19">
            <w:pPr>
              <w:keepNext w:val="0"/>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153FB52">
            <w:pPr>
              <w:keepNext w:val="0"/>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29C7996">
            <w:pPr>
              <w:keepNext w:val="0"/>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AB103D0">
            <w:pPr>
              <w:keepNext w:val="0"/>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BA0D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4B7D85C">
            <w:pPr>
              <w:keepNext w:val="0"/>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AB19B7E">
            <w:pPr>
              <w:keepNext w:val="0"/>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E7597FE">
            <w:pPr>
              <w:keepNext w:val="0"/>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7BC8D27">
            <w:pPr>
              <w:keepNext w:val="0"/>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38983DF7">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724135303"/>
                <w:lang w:val="en-US" w:eastAsia="zh-CN"/>
              </w:rPr>
              <w:t>宋</w:t>
            </w:r>
            <w:r>
              <w:rPr>
                <w:rFonts w:hint="eastAsia" w:ascii="宋体" w:hAnsi="宋体" w:eastAsia="宋体" w:cs="宋体"/>
                <w:spacing w:val="0"/>
                <w:kern w:val="0"/>
                <w:sz w:val="20"/>
                <w:szCs w:val="20"/>
                <w:fitText w:val="600" w:id="1724135303"/>
                <w:lang w:val="en-US" w:eastAsia="zh-CN"/>
              </w:rPr>
              <w:t>振</w:t>
            </w:r>
          </w:p>
        </w:tc>
        <w:tc>
          <w:tcPr>
            <w:tcW w:w="1240" w:type="dxa"/>
          </w:tcPr>
          <w:p w14:paraId="55149783">
            <w:pPr>
              <w:keepNext w:val="0"/>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D986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F2F5792">
            <w:pPr>
              <w:pStyle w:val="27"/>
              <w:keepNext w:val="0"/>
              <w:keepLines w:val="0"/>
              <w:pageBreakBefore w:val="0"/>
              <w:widowControl w:val="0"/>
              <w:wordWrap/>
              <w:overflowPunct/>
              <w:bidi w:val="0"/>
            </w:pPr>
          </w:p>
        </w:tc>
        <w:tc>
          <w:tcPr>
            <w:tcW w:w="919" w:type="dxa"/>
          </w:tcPr>
          <w:p w14:paraId="4EA79DB3">
            <w:pPr>
              <w:pStyle w:val="27"/>
              <w:keepNext w:val="0"/>
              <w:keepLines w:val="0"/>
              <w:pageBreakBefore w:val="0"/>
              <w:widowControl w:val="0"/>
              <w:wordWrap/>
              <w:overflowPunct/>
              <w:bidi w:val="0"/>
            </w:pPr>
          </w:p>
        </w:tc>
        <w:tc>
          <w:tcPr>
            <w:tcW w:w="2289" w:type="dxa"/>
          </w:tcPr>
          <w:p w14:paraId="2D75CFF0">
            <w:pPr>
              <w:pStyle w:val="27"/>
              <w:keepNext w:val="0"/>
              <w:keepLines w:val="0"/>
              <w:pageBreakBefore w:val="0"/>
              <w:widowControl w:val="0"/>
              <w:wordWrap/>
              <w:overflowPunct/>
              <w:bidi w:val="0"/>
            </w:pPr>
          </w:p>
        </w:tc>
        <w:tc>
          <w:tcPr>
            <w:tcW w:w="1148" w:type="dxa"/>
          </w:tcPr>
          <w:p w14:paraId="76C28AE1">
            <w:pPr>
              <w:keepNext w:val="0"/>
              <w:keepLines w:val="0"/>
              <w:pageBreakBefore w:val="0"/>
              <w:widowControl w:val="0"/>
              <w:wordWrap/>
              <w:overflowPunct/>
              <w:bidi w:val="0"/>
              <w:spacing w:before="172" w:line="228" w:lineRule="auto"/>
              <w:ind w:left="313"/>
            </w:pPr>
          </w:p>
        </w:tc>
        <w:tc>
          <w:tcPr>
            <w:tcW w:w="1150" w:type="dxa"/>
          </w:tcPr>
          <w:p w14:paraId="75CF0934">
            <w:pPr>
              <w:keepNext w:val="0"/>
              <w:keepLines w:val="0"/>
              <w:pageBreakBefore w:val="0"/>
              <w:widowControl w:val="0"/>
              <w:wordWrap/>
              <w:overflowPunct/>
              <w:bidi w:val="0"/>
              <w:spacing w:before="172" w:line="228" w:lineRule="auto"/>
              <w:ind w:left="313"/>
            </w:pPr>
          </w:p>
        </w:tc>
        <w:tc>
          <w:tcPr>
            <w:tcW w:w="1240" w:type="dxa"/>
          </w:tcPr>
          <w:p w14:paraId="7541C492">
            <w:pPr>
              <w:pStyle w:val="27"/>
              <w:keepNext w:val="0"/>
              <w:keepLines w:val="0"/>
              <w:pageBreakBefore w:val="0"/>
              <w:widowControl w:val="0"/>
              <w:wordWrap/>
              <w:overflowPunct/>
              <w:bidi w:val="0"/>
            </w:pPr>
          </w:p>
        </w:tc>
      </w:tr>
      <w:tr w14:paraId="5D13A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F86E3A">
            <w:pPr>
              <w:pStyle w:val="27"/>
              <w:keepNext w:val="0"/>
              <w:keepLines w:val="0"/>
              <w:pageBreakBefore w:val="0"/>
              <w:widowControl w:val="0"/>
              <w:wordWrap/>
              <w:overflowPunct/>
              <w:bidi w:val="0"/>
            </w:pPr>
          </w:p>
        </w:tc>
        <w:tc>
          <w:tcPr>
            <w:tcW w:w="919" w:type="dxa"/>
          </w:tcPr>
          <w:p w14:paraId="6DE542E5">
            <w:pPr>
              <w:pStyle w:val="27"/>
              <w:keepNext w:val="0"/>
              <w:keepLines w:val="0"/>
              <w:pageBreakBefore w:val="0"/>
              <w:widowControl w:val="0"/>
              <w:wordWrap/>
              <w:overflowPunct/>
              <w:bidi w:val="0"/>
            </w:pPr>
          </w:p>
        </w:tc>
        <w:tc>
          <w:tcPr>
            <w:tcW w:w="2289" w:type="dxa"/>
          </w:tcPr>
          <w:p w14:paraId="6BD07077">
            <w:pPr>
              <w:pStyle w:val="27"/>
              <w:keepNext w:val="0"/>
              <w:keepLines w:val="0"/>
              <w:pageBreakBefore w:val="0"/>
              <w:widowControl w:val="0"/>
              <w:wordWrap/>
              <w:overflowPunct/>
              <w:bidi w:val="0"/>
            </w:pPr>
          </w:p>
        </w:tc>
        <w:tc>
          <w:tcPr>
            <w:tcW w:w="1148" w:type="dxa"/>
          </w:tcPr>
          <w:p w14:paraId="62233348">
            <w:pPr>
              <w:keepNext w:val="0"/>
              <w:keepLines w:val="0"/>
              <w:pageBreakBefore w:val="0"/>
              <w:widowControl w:val="0"/>
              <w:wordWrap/>
              <w:overflowPunct/>
              <w:bidi w:val="0"/>
              <w:spacing w:before="173" w:line="229" w:lineRule="auto"/>
              <w:ind w:left="314"/>
            </w:pPr>
          </w:p>
        </w:tc>
        <w:tc>
          <w:tcPr>
            <w:tcW w:w="1150" w:type="dxa"/>
          </w:tcPr>
          <w:p w14:paraId="0FBCAA18">
            <w:pPr>
              <w:keepNext w:val="0"/>
              <w:keepLines w:val="0"/>
              <w:pageBreakBefore w:val="0"/>
              <w:widowControl w:val="0"/>
              <w:wordWrap/>
              <w:overflowPunct/>
              <w:bidi w:val="0"/>
              <w:spacing w:before="173" w:line="229" w:lineRule="auto"/>
              <w:ind w:left="314"/>
            </w:pPr>
          </w:p>
        </w:tc>
        <w:tc>
          <w:tcPr>
            <w:tcW w:w="1240" w:type="dxa"/>
          </w:tcPr>
          <w:p w14:paraId="1396441F">
            <w:pPr>
              <w:pStyle w:val="27"/>
              <w:keepNext w:val="0"/>
              <w:keepLines w:val="0"/>
              <w:pageBreakBefore w:val="0"/>
              <w:widowControl w:val="0"/>
              <w:wordWrap/>
              <w:overflowPunct/>
              <w:bidi w:val="0"/>
            </w:pPr>
          </w:p>
        </w:tc>
      </w:tr>
      <w:tr w14:paraId="48A01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56DEFCC">
            <w:pPr>
              <w:pStyle w:val="27"/>
              <w:keepNext w:val="0"/>
              <w:keepLines w:val="0"/>
              <w:pageBreakBefore w:val="0"/>
              <w:widowControl w:val="0"/>
              <w:wordWrap/>
              <w:overflowPunct/>
              <w:bidi w:val="0"/>
            </w:pPr>
          </w:p>
        </w:tc>
        <w:tc>
          <w:tcPr>
            <w:tcW w:w="919" w:type="dxa"/>
          </w:tcPr>
          <w:p w14:paraId="0A1A0921">
            <w:pPr>
              <w:pStyle w:val="27"/>
              <w:keepNext w:val="0"/>
              <w:keepLines w:val="0"/>
              <w:pageBreakBefore w:val="0"/>
              <w:widowControl w:val="0"/>
              <w:wordWrap/>
              <w:overflowPunct/>
              <w:bidi w:val="0"/>
            </w:pPr>
          </w:p>
        </w:tc>
        <w:tc>
          <w:tcPr>
            <w:tcW w:w="2289" w:type="dxa"/>
          </w:tcPr>
          <w:p w14:paraId="2482ABE9">
            <w:pPr>
              <w:pStyle w:val="27"/>
              <w:keepNext w:val="0"/>
              <w:keepLines w:val="0"/>
              <w:pageBreakBefore w:val="0"/>
              <w:widowControl w:val="0"/>
              <w:wordWrap/>
              <w:overflowPunct/>
              <w:bidi w:val="0"/>
            </w:pPr>
          </w:p>
        </w:tc>
        <w:tc>
          <w:tcPr>
            <w:tcW w:w="1148" w:type="dxa"/>
          </w:tcPr>
          <w:p w14:paraId="03C741F5">
            <w:pPr>
              <w:pStyle w:val="27"/>
              <w:keepNext w:val="0"/>
              <w:keepLines w:val="0"/>
              <w:pageBreakBefore w:val="0"/>
              <w:widowControl w:val="0"/>
              <w:wordWrap/>
              <w:overflowPunct/>
              <w:bidi w:val="0"/>
            </w:pPr>
          </w:p>
        </w:tc>
        <w:tc>
          <w:tcPr>
            <w:tcW w:w="1150" w:type="dxa"/>
          </w:tcPr>
          <w:p w14:paraId="0184B92F">
            <w:pPr>
              <w:pStyle w:val="27"/>
              <w:keepNext w:val="0"/>
              <w:keepLines w:val="0"/>
              <w:pageBreakBefore w:val="0"/>
              <w:widowControl w:val="0"/>
              <w:wordWrap/>
              <w:overflowPunct/>
              <w:bidi w:val="0"/>
            </w:pPr>
          </w:p>
        </w:tc>
        <w:tc>
          <w:tcPr>
            <w:tcW w:w="1240" w:type="dxa"/>
          </w:tcPr>
          <w:p w14:paraId="2279D363">
            <w:pPr>
              <w:pStyle w:val="27"/>
              <w:keepNext w:val="0"/>
              <w:keepLines w:val="0"/>
              <w:pageBreakBefore w:val="0"/>
              <w:widowControl w:val="0"/>
              <w:wordWrap/>
              <w:overflowPunct/>
              <w:bidi w:val="0"/>
            </w:pPr>
          </w:p>
        </w:tc>
      </w:tr>
      <w:tr w14:paraId="739D6C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A1A754">
            <w:pPr>
              <w:pStyle w:val="27"/>
              <w:keepNext w:val="0"/>
              <w:keepLines w:val="0"/>
              <w:pageBreakBefore w:val="0"/>
              <w:widowControl w:val="0"/>
              <w:wordWrap/>
              <w:overflowPunct/>
              <w:bidi w:val="0"/>
            </w:pPr>
          </w:p>
        </w:tc>
        <w:tc>
          <w:tcPr>
            <w:tcW w:w="919" w:type="dxa"/>
          </w:tcPr>
          <w:p w14:paraId="0377BB58">
            <w:pPr>
              <w:pStyle w:val="27"/>
              <w:keepNext w:val="0"/>
              <w:keepLines w:val="0"/>
              <w:pageBreakBefore w:val="0"/>
              <w:widowControl w:val="0"/>
              <w:wordWrap/>
              <w:overflowPunct/>
              <w:bidi w:val="0"/>
            </w:pPr>
          </w:p>
        </w:tc>
        <w:tc>
          <w:tcPr>
            <w:tcW w:w="2289" w:type="dxa"/>
          </w:tcPr>
          <w:p w14:paraId="6661EDE1">
            <w:pPr>
              <w:pStyle w:val="27"/>
              <w:keepNext w:val="0"/>
              <w:keepLines w:val="0"/>
              <w:pageBreakBefore w:val="0"/>
              <w:widowControl w:val="0"/>
              <w:wordWrap/>
              <w:overflowPunct/>
              <w:bidi w:val="0"/>
            </w:pPr>
          </w:p>
        </w:tc>
        <w:tc>
          <w:tcPr>
            <w:tcW w:w="1148" w:type="dxa"/>
          </w:tcPr>
          <w:p w14:paraId="25827DC0">
            <w:pPr>
              <w:pStyle w:val="27"/>
              <w:keepNext w:val="0"/>
              <w:keepLines w:val="0"/>
              <w:pageBreakBefore w:val="0"/>
              <w:widowControl w:val="0"/>
              <w:wordWrap/>
              <w:overflowPunct/>
              <w:bidi w:val="0"/>
            </w:pPr>
          </w:p>
        </w:tc>
        <w:tc>
          <w:tcPr>
            <w:tcW w:w="1150" w:type="dxa"/>
          </w:tcPr>
          <w:p w14:paraId="5A85D2F6">
            <w:pPr>
              <w:pStyle w:val="27"/>
              <w:keepNext w:val="0"/>
              <w:keepLines w:val="0"/>
              <w:pageBreakBefore w:val="0"/>
              <w:widowControl w:val="0"/>
              <w:wordWrap/>
              <w:overflowPunct/>
              <w:bidi w:val="0"/>
            </w:pPr>
          </w:p>
        </w:tc>
        <w:tc>
          <w:tcPr>
            <w:tcW w:w="1240" w:type="dxa"/>
          </w:tcPr>
          <w:p w14:paraId="0351824D">
            <w:pPr>
              <w:pStyle w:val="27"/>
              <w:keepNext w:val="0"/>
              <w:keepLines w:val="0"/>
              <w:pageBreakBefore w:val="0"/>
              <w:widowControl w:val="0"/>
              <w:wordWrap/>
              <w:overflowPunct/>
              <w:bidi w:val="0"/>
            </w:pPr>
          </w:p>
        </w:tc>
      </w:tr>
      <w:tr w14:paraId="44FB8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D5F3064">
            <w:pPr>
              <w:pStyle w:val="27"/>
              <w:keepNext w:val="0"/>
              <w:keepLines w:val="0"/>
              <w:pageBreakBefore w:val="0"/>
              <w:widowControl w:val="0"/>
              <w:wordWrap/>
              <w:overflowPunct/>
              <w:bidi w:val="0"/>
            </w:pPr>
          </w:p>
        </w:tc>
        <w:tc>
          <w:tcPr>
            <w:tcW w:w="919" w:type="dxa"/>
          </w:tcPr>
          <w:p w14:paraId="7B0C8247">
            <w:pPr>
              <w:pStyle w:val="27"/>
              <w:keepNext w:val="0"/>
              <w:keepLines w:val="0"/>
              <w:pageBreakBefore w:val="0"/>
              <w:widowControl w:val="0"/>
              <w:wordWrap/>
              <w:overflowPunct/>
              <w:bidi w:val="0"/>
            </w:pPr>
          </w:p>
        </w:tc>
        <w:tc>
          <w:tcPr>
            <w:tcW w:w="2289" w:type="dxa"/>
          </w:tcPr>
          <w:p w14:paraId="7D8A0808">
            <w:pPr>
              <w:pStyle w:val="27"/>
              <w:keepNext w:val="0"/>
              <w:keepLines w:val="0"/>
              <w:pageBreakBefore w:val="0"/>
              <w:widowControl w:val="0"/>
              <w:wordWrap/>
              <w:overflowPunct/>
              <w:bidi w:val="0"/>
            </w:pPr>
          </w:p>
        </w:tc>
        <w:tc>
          <w:tcPr>
            <w:tcW w:w="1148" w:type="dxa"/>
          </w:tcPr>
          <w:p w14:paraId="048A875D">
            <w:pPr>
              <w:pStyle w:val="27"/>
              <w:keepNext w:val="0"/>
              <w:keepLines w:val="0"/>
              <w:pageBreakBefore w:val="0"/>
              <w:widowControl w:val="0"/>
              <w:wordWrap/>
              <w:overflowPunct/>
              <w:bidi w:val="0"/>
            </w:pPr>
          </w:p>
        </w:tc>
        <w:tc>
          <w:tcPr>
            <w:tcW w:w="1150" w:type="dxa"/>
          </w:tcPr>
          <w:p w14:paraId="630A1DE4">
            <w:pPr>
              <w:pStyle w:val="27"/>
              <w:keepNext w:val="0"/>
              <w:keepLines w:val="0"/>
              <w:pageBreakBefore w:val="0"/>
              <w:widowControl w:val="0"/>
              <w:wordWrap/>
              <w:overflowPunct/>
              <w:bidi w:val="0"/>
            </w:pPr>
          </w:p>
        </w:tc>
        <w:tc>
          <w:tcPr>
            <w:tcW w:w="1240" w:type="dxa"/>
          </w:tcPr>
          <w:p w14:paraId="4384C31F">
            <w:pPr>
              <w:pStyle w:val="27"/>
              <w:keepNext w:val="0"/>
              <w:keepLines w:val="0"/>
              <w:pageBreakBefore w:val="0"/>
              <w:widowControl w:val="0"/>
              <w:wordWrap/>
              <w:overflowPunct/>
              <w:bidi w:val="0"/>
            </w:pPr>
          </w:p>
        </w:tc>
      </w:tr>
    </w:tbl>
    <w:p w14:paraId="59F29978">
      <w:pPr>
        <w:keepNext w:val="0"/>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ECABAC4">
          <w:pPr>
            <w:keepNext w:val="0"/>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672BA64">
          <w:pPr>
            <w:pStyle w:val="16"/>
            <w:keepNext w:val="0"/>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_Toc31439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_Toc31439 \h </w:instrText>
          </w:r>
          <w:r>
            <w:fldChar w:fldCharType="separate"/>
          </w:r>
          <w:r>
            <w:t>1</w:t>
          </w:r>
          <w:r>
            <w:fldChar w:fldCharType="end"/>
          </w:r>
          <w:r>
            <w:rPr>
              <w:rFonts w:hint="eastAsia" w:ascii="宋体" w:hAnsi="宋体" w:eastAsia="宋体" w:cs="宋体"/>
              <w:szCs w:val="24"/>
            </w:rPr>
            <w:fldChar w:fldCharType="end"/>
          </w:r>
        </w:p>
        <w:p w14:paraId="4331ADFB">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_Toc18914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_Toc18914 \h </w:instrText>
          </w:r>
          <w:r>
            <w:fldChar w:fldCharType="separate"/>
          </w:r>
          <w:r>
            <w:t>1</w:t>
          </w:r>
          <w:r>
            <w:fldChar w:fldCharType="end"/>
          </w:r>
          <w:r>
            <w:rPr>
              <w:rFonts w:hint="eastAsia" w:ascii="宋体" w:hAnsi="宋体" w:eastAsia="宋体" w:cs="宋体"/>
              <w:szCs w:val="24"/>
            </w:rPr>
            <w:fldChar w:fldCharType="end"/>
          </w:r>
        </w:p>
        <w:p w14:paraId="290CC77F">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_Toc23668 \h </w:instrText>
          </w:r>
          <w:r>
            <w:fldChar w:fldCharType="separate"/>
          </w:r>
          <w:r>
            <w:t>4</w:t>
          </w:r>
          <w:r>
            <w:fldChar w:fldCharType="end"/>
          </w:r>
          <w:r>
            <w:rPr>
              <w:rFonts w:hint="eastAsia" w:ascii="宋体" w:hAnsi="宋体" w:eastAsia="宋体" w:cs="宋体"/>
              <w:szCs w:val="24"/>
            </w:rPr>
            <w:fldChar w:fldCharType="end"/>
          </w:r>
        </w:p>
        <w:p w14:paraId="3A6C0FDF">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_Toc26510 \h </w:instrText>
          </w:r>
          <w:r>
            <w:fldChar w:fldCharType="separate"/>
          </w:r>
          <w:r>
            <w:t>4</w:t>
          </w:r>
          <w:r>
            <w:fldChar w:fldCharType="end"/>
          </w:r>
          <w:r>
            <w:rPr>
              <w:rFonts w:hint="eastAsia" w:ascii="宋体" w:hAnsi="宋体" w:eastAsia="宋体" w:cs="宋体"/>
              <w:szCs w:val="24"/>
            </w:rPr>
            <w:fldChar w:fldCharType="end"/>
          </w:r>
        </w:p>
        <w:p w14:paraId="3EA50E36">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_Toc30529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_Toc30529 \h </w:instrText>
          </w:r>
          <w:r>
            <w:fldChar w:fldCharType="separate"/>
          </w:r>
          <w:r>
            <w:t>4</w:t>
          </w:r>
          <w:r>
            <w:fldChar w:fldCharType="end"/>
          </w:r>
          <w:r>
            <w:rPr>
              <w:rFonts w:hint="eastAsia" w:ascii="宋体" w:hAnsi="宋体" w:eastAsia="宋体" w:cs="宋体"/>
              <w:szCs w:val="24"/>
            </w:rPr>
            <w:fldChar w:fldCharType="end"/>
          </w:r>
        </w:p>
        <w:p w14:paraId="4EE0F762">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_Toc2261 \h </w:instrText>
          </w:r>
          <w:r>
            <w:fldChar w:fldCharType="separate"/>
          </w:r>
          <w:r>
            <w:t>4</w:t>
          </w:r>
          <w:r>
            <w:fldChar w:fldCharType="end"/>
          </w:r>
          <w:r>
            <w:rPr>
              <w:rFonts w:hint="eastAsia" w:ascii="宋体" w:hAnsi="宋体" w:eastAsia="宋体" w:cs="宋体"/>
              <w:szCs w:val="24"/>
            </w:rPr>
            <w:fldChar w:fldCharType="end"/>
          </w:r>
        </w:p>
        <w:p w14:paraId="1F63E6AD">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_Toc22276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平台运维组</w:t>
          </w:r>
          <w:r>
            <w:tab/>
          </w:r>
          <w:r>
            <w:fldChar w:fldCharType="begin"/>
          </w:r>
          <w:r>
            <w:instrText xml:space="preserve"> PAGEREF _Toc22276 \h </w:instrText>
          </w:r>
          <w:r>
            <w:fldChar w:fldCharType="separate"/>
          </w:r>
          <w:r>
            <w:t>4</w:t>
          </w:r>
          <w:r>
            <w:fldChar w:fldCharType="end"/>
          </w:r>
          <w:r>
            <w:rPr>
              <w:rFonts w:hint="eastAsia" w:ascii="宋体" w:hAnsi="宋体" w:eastAsia="宋体" w:cs="宋体"/>
              <w:szCs w:val="24"/>
            </w:rPr>
            <w:fldChar w:fldCharType="end"/>
          </w:r>
        </w:p>
        <w:p w14:paraId="38F040F2">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管理流程</w:t>
          </w:r>
          <w:r>
            <w:tab/>
          </w:r>
          <w:r>
            <w:fldChar w:fldCharType="begin"/>
          </w:r>
          <w:r>
            <w:instrText xml:space="preserve"> PAGEREF _Toc21734 \h </w:instrText>
          </w:r>
          <w:r>
            <w:fldChar w:fldCharType="separate"/>
          </w:r>
          <w:r>
            <w:t>5</w:t>
          </w:r>
          <w:r>
            <w:fldChar w:fldCharType="end"/>
          </w:r>
          <w:r>
            <w:rPr>
              <w:rFonts w:hint="eastAsia" w:ascii="宋体" w:hAnsi="宋体" w:eastAsia="宋体" w:cs="宋体"/>
              <w:szCs w:val="24"/>
            </w:rPr>
            <w:fldChar w:fldCharType="end"/>
          </w:r>
        </w:p>
        <w:p w14:paraId="06E4ECC5">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可用性</w:t>
          </w:r>
          <w:r>
            <w:tab/>
          </w:r>
          <w:r>
            <w:fldChar w:fldCharType="begin"/>
          </w:r>
          <w:r>
            <w:instrText xml:space="preserve"> PAGEREF _Toc3678 \h </w:instrText>
          </w:r>
          <w:r>
            <w:fldChar w:fldCharType="separate"/>
          </w:r>
          <w:r>
            <w:t>5</w:t>
          </w:r>
          <w:r>
            <w:fldChar w:fldCharType="end"/>
          </w:r>
          <w:r>
            <w:rPr>
              <w:rFonts w:hint="eastAsia" w:ascii="宋体" w:hAnsi="宋体" w:eastAsia="宋体" w:cs="宋体"/>
              <w:szCs w:val="24"/>
            </w:rPr>
            <w:fldChar w:fldCharType="end"/>
          </w:r>
        </w:p>
        <w:p w14:paraId="6BBEADB6">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_Toc17227 </w:instrText>
          </w:r>
          <w:r>
            <w:rPr>
              <w:rFonts w:hint="eastAsia" w:ascii="宋体" w:hAnsi="宋体" w:eastAsia="宋体" w:cs="宋体"/>
              <w:szCs w:val="24"/>
            </w:rPr>
            <w:fldChar w:fldCharType="separate"/>
          </w:r>
          <w:r>
            <w:rPr>
              <w:rFonts w:hint="default"/>
            </w:rPr>
            <w:t xml:space="preserve">5.1.1. </w:t>
          </w:r>
          <w:r>
            <w:t>识别可用性需求</w:t>
          </w:r>
          <w:r>
            <w:tab/>
          </w:r>
          <w:r>
            <w:fldChar w:fldCharType="begin"/>
          </w:r>
          <w:r>
            <w:instrText xml:space="preserve"> PAGEREF _Toc17227 \h </w:instrText>
          </w:r>
          <w:r>
            <w:fldChar w:fldCharType="separate"/>
          </w:r>
          <w:r>
            <w:t>5</w:t>
          </w:r>
          <w:r>
            <w:fldChar w:fldCharType="end"/>
          </w:r>
          <w:r>
            <w:rPr>
              <w:rFonts w:hint="eastAsia" w:ascii="宋体" w:hAnsi="宋体" w:eastAsia="宋体" w:cs="宋体"/>
              <w:szCs w:val="24"/>
            </w:rPr>
            <w:fldChar w:fldCharType="end"/>
          </w:r>
        </w:p>
        <w:p w14:paraId="5DE42F48">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_Toc20602 </w:instrText>
          </w:r>
          <w:r>
            <w:rPr>
              <w:rFonts w:hint="eastAsia" w:ascii="宋体" w:hAnsi="宋体" w:eastAsia="宋体" w:cs="宋体"/>
              <w:szCs w:val="24"/>
            </w:rPr>
            <w:fldChar w:fldCharType="separate"/>
          </w:r>
          <w:r>
            <w:rPr>
              <w:rFonts w:hint="default"/>
            </w:rPr>
            <w:t xml:space="preserve">5.1.2. </w:t>
          </w:r>
          <w:r>
            <w:t>可用性设计</w:t>
          </w:r>
          <w:r>
            <w:tab/>
          </w:r>
          <w:r>
            <w:fldChar w:fldCharType="begin"/>
          </w:r>
          <w:r>
            <w:instrText xml:space="preserve"> PAGEREF _Toc20602 \h </w:instrText>
          </w:r>
          <w:r>
            <w:fldChar w:fldCharType="separate"/>
          </w:r>
          <w:r>
            <w:t>5</w:t>
          </w:r>
          <w:r>
            <w:fldChar w:fldCharType="end"/>
          </w:r>
          <w:r>
            <w:rPr>
              <w:rFonts w:hint="eastAsia" w:ascii="宋体" w:hAnsi="宋体" w:eastAsia="宋体" w:cs="宋体"/>
              <w:szCs w:val="24"/>
            </w:rPr>
            <w:fldChar w:fldCharType="end"/>
          </w:r>
        </w:p>
        <w:p w14:paraId="48351251">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_Toc30010 </w:instrText>
          </w:r>
          <w:r>
            <w:rPr>
              <w:rFonts w:hint="eastAsia" w:ascii="宋体" w:hAnsi="宋体" w:eastAsia="宋体" w:cs="宋体"/>
              <w:szCs w:val="24"/>
            </w:rPr>
            <w:fldChar w:fldCharType="separate"/>
          </w:r>
          <w:r>
            <w:rPr>
              <w:rFonts w:hint="default"/>
            </w:rPr>
            <w:t xml:space="preserve">5.1.3. </w:t>
          </w:r>
          <w:r>
            <w:t>恢复方案设计</w:t>
          </w:r>
          <w:r>
            <w:tab/>
          </w:r>
          <w:r>
            <w:fldChar w:fldCharType="begin"/>
          </w:r>
          <w:r>
            <w:instrText xml:space="preserve"> PAGEREF _Toc30010 \h </w:instrText>
          </w:r>
          <w:r>
            <w:fldChar w:fldCharType="separate"/>
          </w:r>
          <w:r>
            <w:t>6</w:t>
          </w:r>
          <w:r>
            <w:fldChar w:fldCharType="end"/>
          </w:r>
          <w:r>
            <w:rPr>
              <w:rFonts w:hint="eastAsia" w:ascii="宋体" w:hAnsi="宋体" w:eastAsia="宋体" w:cs="宋体"/>
              <w:szCs w:val="24"/>
            </w:rPr>
            <w:fldChar w:fldCharType="end"/>
          </w:r>
        </w:p>
        <w:p w14:paraId="3026E95B">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_Toc29059 </w:instrText>
          </w:r>
          <w:r>
            <w:rPr>
              <w:rFonts w:hint="eastAsia" w:ascii="宋体" w:hAnsi="宋体" w:eastAsia="宋体" w:cs="宋体"/>
              <w:szCs w:val="24"/>
            </w:rPr>
            <w:fldChar w:fldCharType="separate"/>
          </w:r>
          <w:r>
            <w:rPr>
              <w:rFonts w:hint="default"/>
            </w:rPr>
            <w:t xml:space="preserve">5.1.4. </w:t>
          </w:r>
          <w:r>
            <w:t>维护管理</w:t>
          </w:r>
          <w:r>
            <w:tab/>
          </w:r>
          <w:r>
            <w:fldChar w:fldCharType="begin"/>
          </w:r>
          <w:r>
            <w:instrText xml:space="preserve"> PAGEREF _Toc29059 \h </w:instrText>
          </w:r>
          <w:r>
            <w:fldChar w:fldCharType="separate"/>
          </w:r>
          <w:r>
            <w:t>6</w:t>
          </w:r>
          <w:r>
            <w:fldChar w:fldCharType="end"/>
          </w:r>
          <w:r>
            <w:rPr>
              <w:rFonts w:hint="eastAsia" w:ascii="宋体" w:hAnsi="宋体" w:eastAsia="宋体" w:cs="宋体"/>
              <w:szCs w:val="24"/>
            </w:rPr>
            <w:fldChar w:fldCharType="end"/>
          </w:r>
        </w:p>
        <w:p w14:paraId="02D60386">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_Toc3773 </w:instrText>
          </w:r>
          <w:r>
            <w:rPr>
              <w:rFonts w:hint="eastAsia" w:ascii="宋体" w:hAnsi="宋体" w:eastAsia="宋体" w:cs="宋体"/>
              <w:szCs w:val="24"/>
            </w:rPr>
            <w:fldChar w:fldCharType="separate"/>
          </w:r>
          <w:r>
            <w:rPr>
              <w:rFonts w:hint="default"/>
            </w:rPr>
            <w:t xml:space="preserve">5.1.5. </w:t>
          </w:r>
          <w:r>
            <w:t>制定《</w:t>
          </w:r>
          <w:r>
            <w:rPr>
              <w:rFonts w:hint="eastAsia"/>
              <w:lang w:eastAsia="zh-CN"/>
            </w:rPr>
            <w:t>可用性管理计划</w:t>
          </w:r>
          <w:r>
            <w:t>》</w:t>
          </w:r>
          <w:r>
            <w:tab/>
          </w:r>
          <w:r>
            <w:fldChar w:fldCharType="begin"/>
          </w:r>
          <w:r>
            <w:instrText xml:space="preserve"> PAGEREF _Toc3773 \h </w:instrText>
          </w:r>
          <w:r>
            <w:fldChar w:fldCharType="separate"/>
          </w:r>
          <w:r>
            <w:t>7</w:t>
          </w:r>
          <w:r>
            <w:fldChar w:fldCharType="end"/>
          </w:r>
          <w:r>
            <w:rPr>
              <w:rFonts w:hint="eastAsia" w:ascii="宋体" w:hAnsi="宋体" w:eastAsia="宋体" w:cs="宋体"/>
              <w:szCs w:val="24"/>
            </w:rPr>
            <w:fldChar w:fldCharType="end"/>
          </w:r>
        </w:p>
        <w:p w14:paraId="2E5677D5">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_Toc19388 </w:instrText>
          </w:r>
          <w:r>
            <w:rPr>
              <w:rFonts w:hint="eastAsia" w:ascii="宋体" w:hAnsi="宋体" w:eastAsia="宋体" w:cs="宋体"/>
              <w:szCs w:val="24"/>
            </w:rPr>
            <w:fldChar w:fldCharType="separate"/>
          </w:r>
          <w:r>
            <w:rPr>
              <w:rFonts w:hint="default"/>
            </w:rPr>
            <w:t xml:space="preserve">5.1.6. </w:t>
          </w:r>
          <w:r>
            <w:t>监控、评价和报告</w:t>
          </w:r>
          <w:r>
            <w:tab/>
          </w:r>
          <w:r>
            <w:fldChar w:fldCharType="begin"/>
          </w:r>
          <w:r>
            <w:instrText xml:space="preserve"> PAGEREF _Toc19388 \h </w:instrText>
          </w:r>
          <w:r>
            <w:fldChar w:fldCharType="separate"/>
          </w:r>
          <w:r>
            <w:t>7</w:t>
          </w:r>
          <w:r>
            <w:fldChar w:fldCharType="end"/>
          </w:r>
          <w:r>
            <w:rPr>
              <w:rFonts w:hint="eastAsia" w:ascii="宋体" w:hAnsi="宋体" w:eastAsia="宋体" w:cs="宋体"/>
              <w:szCs w:val="24"/>
            </w:rPr>
            <w:fldChar w:fldCharType="end"/>
          </w:r>
        </w:p>
        <w:p w14:paraId="285DB5AC">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_Toc13797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连续性</w:t>
          </w:r>
          <w:r>
            <w:tab/>
          </w:r>
          <w:r>
            <w:fldChar w:fldCharType="begin"/>
          </w:r>
          <w:r>
            <w:instrText xml:space="preserve"> PAGEREF _Toc13797 \h </w:instrText>
          </w:r>
          <w:r>
            <w:fldChar w:fldCharType="separate"/>
          </w:r>
          <w:r>
            <w:t>8</w:t>
          </w:r>
          <w:r>
            <w:fldChar w:fldCharType="end"/>
          </w:r>
          <w:r>
            <w:rPr>
              <w:rFonts w:hint="eastAsia" w:ascii="宋体" w:hAnsi="宋体" w:eastAsia="宋体" w:cs="宋体"/>
              <w:szCs w:val="24"/>
            </w:rPr>
            <w:fldChar w:fldCharType="end"/>
          </w:r>
        </w:p>
        <w:p w14:paraId="7522B578">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_Toc13929 </w:instrText>
          </w:r>
          <w:r>
            <w:rPr>
              <w:rFonts w:hint="eastAsia" w:ascii="宋体" w:hAnsi="宋体" w:eastAsia="宋体" w:cs="宋体"/>
              <w:szCs w:val="24"/>
            </w:rPr>
            <w:fldChar w:fldCharType="separate"/>
          </w:r>
          <w:r>
            <w:rPr>
              <w:rFonts w:hint="default"/>
            </w:rPr>
            <w:t xml:space="preserve">5.2.1. </w:t>
          </w:r>
          <w:r>
            <w:t>初始化阶段</w:t>
          </w:r>
          <w:r>
            <w:tab/>
          </w:r>
          <w:r>
            <w:fldChar w:fldCharType="begin"/>
          </w:r>
          <w:r>
            <w:instrText xml:space="preserve"> PAGEREF _Toc13929 \h </w:instrText>
          </w:r>
          <w:r>
            <w:fldChar w:fldCharType="separate"/>
          </w:r>
          <w:r>
            <w:t>8</w:t>
          </w:r>
          <w:r>
            <w:fldChar w:fldCharType="end"/>
          </w:r>
          <w:r>
            <w:rPr>
              <w:rFonts w:hint="eastAsia" w:ascii="宋体" w:hAnsi="宋体" w:eastAsia="宋体" w:cs="宋体"/>
              <w:szCs w:val="24"/>
            </w:rPr>
            <w:fldChar w:fldCharType="end"/>
          </w:r>
        </w:p>
        <w:p w14:paraId="38F6F199">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_Toc20627 </w:instrText>
          </w:r>
          <w:r>
            <w:rPr>
              <w:rFonts w:hint="eastAsia" w:ascii="宋体" w:hAnsi="宋体" w:eastAsia="宋体" w:cs="宋体"/>
              <w:szCs w:val="24"/>
            </w:rPr>
            <w:fldChar w:fldCharType="separate"/>
          </w:r>
          <w:r>
            <w:rPr>
              <w:rFonts w:hint="default"/>
            </w:rPr>
            <w:t xml:space="preserve">5.2.2. </w:t>
          </w:r>
          <w:r>
            <w:t>分析规划阶段</w:t>
          </w:r>
          <w:r>
            <w:tab/>
          </w:r>
          <w:r>
            <w:fldChar w:fldCharType="begin"/>
          </w:r>
          <w:r>
            <w:instrText xml:space="preserve"> PAGEREF _Toc20627 \h </w:instrText>
          </w:r>
          <w:r>
            <w:fldChar w:fldCharType="separate"/>
          </w:r>
          <w:r>
            <w:t>8</w:t>
          </w:r>
          <w:r>
            <w:fldChar w:fldCharType="end"/>
          </w:r>
          <w:r>
            <w:rPr>
              <w:rFonts w:hint="eastAsia" w:ascii="宋体" w:hAnsi="宋体" w:eastAsia="宋体" w:cs="宋体"/>
              <w:szCs w:val="24"/>
            </w:rPr>
            <w:fldChar w:fldCharType="end"/>
          </w:r>
        </w:p>
        <w:p w14:paraId="7DDB7876">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_Toc25830 </w:instrText>
          </w:r>
          <w:r>
            <w:rPr>
              <w:rFonts w:hint="eastAsia" w:ascii="宋体" w:hAnsi="宋体" w:eastAsia="宋体" w:cs="宋体"/>
              <w:szCs w:val="24"/>
            </w:rPr>
            <w:fldChar w:fldCharType="separate"/>
          </w:r>
          <w:r>
            <w:rPr>
              <w:rFonts w:hint="default"/>
            </w:rPr>
            <w:t xml:space="preserve">5.2.3. </w:t>
          </w:r>
          <w:r>
            <w:t>实施阶段</w:t>
          </w:r>
          <w:r>
            <w:tab/>
          </w:r>
          <w:r>
            <w:fldChar w:fldCharType="begin"/>
          </w:r>
          <w:r>
            <w:instrText xml:space="preserve"> PAGEREF _Toc25830 \h </w:instrText>
          </w:r>
          <w:r>
            <w:fldChar w:fldCharType="separate"/>
          </w:r>
          <w:r>
            <w:t>10</w:t>
          </w:r>
          <w:r>
            <w:fldChar w:fldCharType="end"/>
          </w:r>
          <w:r>
            <w:rPr>
              <w:rFonts w:hint="eastAsia" w:ascii="宋体" w:hAnsi="宋体" w:eastAsia="宋体" w:cs="宋体"/>
              <w:szCs w:val="24"/>
            </w:rPr>
            <w:fldChar w:fldCharType="end"/>
          </w:r>
        </w:p>
        <w:p w14:paraId="050DEBA9">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_Toc7590 </w:instrText>
          </w:r>
          <w:r>
            <w:rPr>
              <w:rFonts w:hint="eastAsia" w:ascii="宋体" w:hAnsi="宋体" w:eastAsia="宋体" w:cs="宋体"/>
              <w:szCs w:val="24"/>
            </w:rPr>
            <w:fldChar w:fldCharType="separate"/>
          </w:r>
          <w:r>
            <w:rPr>
              <w:rFonts w:hint="default"/>
            </w:rPr>
            <w:t xml:space="preserve">5.3. </w:t>
          </w:r>
          <w:r>
            <w:t>与其他流程的关系</w:t>
          </w:r>
          <w:r>
            <w:tab/>
          </w:r>
          <w:r>
            <w:fldChar w:fldCharType="begin"/>
          </w:r>
          <w:r>
            <w:instrText xml:space="preserve"> PAGEREF _Toc7590 \h </w:instrText>
          </w:r>
          <w:r>
            <w:fldChar w:fldCharType="separate"/>
          </w:r>
          <w:r>
            <w:t>11</w:t>
          </w:r>
          <w:r>
            <w:fldChar w:fldCharType="end"/>
          </w:r>
          <w:r>
            <w:rPr>
              <w:rFonts w:hint="eastAsia" w:ascii="宋体" w:hAnsi="宋体" w:eastAsia="宋体" w:cs="宋体"/>
              <w:szCs w:val="24"/>
            </w:rPr>
            <w:fldChar w:fldCharType="end"/>
          </w:r>
        </w:p>
        <w:p w14:paraId="2CE15B83">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_Toc30631 </w:instrText>
          </w:r>
          <w:r>
            <w:rPr>
              <w:rFonts w:hint="eastAsia" w:ascii="宋体" w:hAnsi="宋体" w:eastAsia="宋体" w:cs="宋体"/>
              <w:szCs w:val="24"/>
            </w:rPr>
            <w:fldChar w:fldCharType="separate"/>
          </w:r>
          <w:r>
            <w:rPr>
              <w:rFonts w:hint="default"/>
            </w:rPr>
            <w:t xml:space="preserve">5.3.1. </w:t>
          </w:r>
          <w:r>
            <w:t>与事件管理流程的关系</w:t>
          </w:r>
          <w:r>
            <w:tab/>
          </w:r>
          <w:r>
            <w:fldChar w:fldCharType="begin"/>
          </w:r>
          <w:r>
            <w:instrText xml:space="preserve"> PAGEREF _Toc30631 \h </w:instrText>
          </w:r>
          <w:r>
            <w:fldChar w:fldCharType="separate"/>
          </w:r>
          <w:r>
            <w:t>11</w:t>
          </w:r>
          <w:r>
            <w:fldChar w:fldCharType="end"/>
          </w:r>
          <w:r>
            <w:rPr>
              <w:rFonts w:hint="eastAsia" w:ascii="宋体" w:hAnsi="宋体" w:eastAsia="宋体" w:cs="宋体"/>
              <w:szCs w:val="24"/>
            </w:rPr>
            <w:fldChar w:fldCharType="end"/>
          </w:r>
        </w:p>
        <w:p w14:paraId="0D8845C9">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_Toc27797 </w:instrText>
          </w:r>
          <w:r>
            <w:rPr>
              <w:rFonts w:hint="eastAsia" w:ascii="宋体" w:hAnsi="宋体" w:eastAsia="宋体" w:cs="宋体"/>
              <w:szCs w:val="24"/>
            </w:rPr>
            <w:fldChar w:fldCharType="separate"/>
          </w:r>
          <w:r>
            <w:rPr>
              <w:rFonts w:hint="default"/>
            </w:rPr>
            <w:t xml:space="preserve">5.3.2. </w:t>
          </w:r>
          <w:r>
            <w:t>与问题管理流程的关系</w:t>
          </w:r>
          <w:r>
            <w:tab/>
          </w:r>
          <w:r>
            <w:fldChar w:fldCharType="begin"/>
          </w:r>
          <w:r>
            <w:instrText xml:space="preserve"> PAGEREF _Toc27797 \h </w:instrText>
          </w:r>
          <w:r>
            <w:fldChar w:fldCharType="separate"/>
          </w:r>
          <w:r>
            <w:t>11</w:t>
          </w:r>
          <w:r>
            <w:fldChar w:fldCharType="end"/>
          </w:r>
          <w:r>
            <w:rPr>
              <w:rFonts w:hint="eastAsia" w:ascii="宋体" w:hAnsi="宋体" w:eastAsia="宋体" w:cs="宋体"/>
              <w:szCs w:val="24"/>
            </w:rPr>
            <w:fldChar w:fldCharType="end"/>
          </w:r>
        </w:p>
        <w:p w14:paraId="3346756F">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_Toc5613 </w:instrText>
          </w:r>
          <w:r>
            <w:rPr>
              <w:rFonts w:hint="eastAsia" w:ascii="宋体" w:hAnsi="宋体" w:eastAsia="宋体" w:cs="宋体"/>
              <w:szCs w:val="24"/>
            </w:rPr>
            <w:fldChar w:fldCharType="separate"/>
          </w:r>
          <w:r>
            <w:rPr>
              <w:rFonts w:hint="default"/>
            </w:rPr>
            <w:t xml:space="preserve">5.3.3. </w:t>
          </w:r>
          <w:r>
            <w:t>与变更、发布管理流程的关系</w:t>
          </w:r>
          <w:r>
            <w:tab/>
          </w:r>
          <w:r>
            <w:fldChar w:fldCharType="begin"/>
          </w:r>
          <w:r>
            <w:instrText xml:space="preserve"> PAGEREF _Toc5613 \h </w:instrText>
          </w:r>
          <w:r>
            <w:fldChar w:fldCharType="separate"/>
          </w:r>
          <w:r>
            <w:t>11</w:t>
          </w:r>
          <w:r>
            <w:fldChar w:fldCharType="end"/>
          </w:r>
          <w:r>
            <w:rPr>
              <w:rFonts w:hint="eastAsia" w:ascii="宋体" w:hAnsi="宋体" w:eastAsia="宋体" w:cs="宋体"/>
              <w:szCs w:val="24"/>
            </w:rPr>
            <w:fldChar w:fldCharType="end"/>
          </w:r>
        </w:p>
        <w:p w14:paraId="24ADB1A6">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_Toc3759 </w:instrText>
          </w:r>
          <w:r>
            <w:rPr>
              <w:rFonts w:hint="eastAsia" w:ascii="宋体" w:hAnsi="宋体" w:eastAsia="宋体" w:cs="宋体"/>
              <w:szCs w:val="24"/>
            </w:rPr>
            <w:fldChar w:fldCharType="separate"/>
          </w:r>
          <w:r>
            <w:rPr>
              <w:rFonts w:hint="default"/>
            </w:rPr>
            <w:t xml:space="preserve">5.3.4. </w:t>
          </w:r>
          <w:r>
            <w:t>与配置管理流程的关系</w:t>
          </w:r>
          <w:r>
            <w:tab/>
          </w:r>
          <w:r>
            <w:fldChar w:fldCharType="begin"/>
          </w:r>
          <w:r>
            <w:instrText xml:space="preserve"> PAGEREF _Toc3759 \h </w:instrText>
          </w:r>
          <w:r>
            <w:fldChar w:fldCharType="separate"/>
          </w:r>
          <w:r>
            <w:t>11</w:t>
          </w:r>
          <w:r>
            <w:fldChar w:fldCharType="end"/>
          </w:r>
          <w:r>
            <w:rPr>
              <w:rFonts w:hint="eastAsia" w:ascii="宋体" w:hAnsi="宋体" w:eastAsia="宋体" w:cs="宋体"/>
              <w:szCs w:val="24"/>
            </w:rPr>
            <w:fldChar w:fldCharType="end"/>
          </w:r>
        </w:p>
        <w:p w14:paraId="5EB5E31F">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_Toc24184 </w:instrText>
          </w:r>
          <w:r>
            <w:rPr>
              <w:rFonts w:hint="eastAsia" w:ascii="宋体" w:hAnsi="宋体" w:eastAsia="宋体" w:cs="宋体"/>
              <w:szCs w:val="24"/>
            </w:rPr>
            <w:fldChar w:fldCharType="separate"/>
          </w:r>
          <w:r>
            <w:rPr>
              <w:rFonts w:hint="default"/>
            </w:rPr>
            <w:t xml:space="preserve">5.4. </w:t>
          </w:r>
          <w:r>
            <w:t>考核指标</w:t>
          </w:r>
          <w:r>
            <w:tab/>
          </w:r>
          <w:r>
            <w:fldChar w:fldCharType="begin"/>
          </w:r>
          <w:r>
            <w:instrText xml:space="preserve"> PAGEREF _Toc24184 \h </w:instrText>
          </w:r>
          <w:r>
            <w:fldChar w:fldCharType="separate"/>
          </w:r>
          <w:r>
            <w:t>12</w:t>
          </w:r>
          <w:r>
            <w:fldChar w:fldCharType="end"/>
          </w:r>
          <w:r>
            <w:rPr>
              <w:rFonts w:hint="eastAsia" w:ascii="宋体" w:hAnsi="宋体" w:eastAsia="宋体" w:cs="宋体"/>
              <w:szCs w:val="24"/>
            </w:rPr>
            <w:fldChar w:fldCharType="end"/>
          </w:r>
        </w:p>
        <w:p w14:paraId="3E84BE0D">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_Toc14242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_Toc14242 \h </w:instrText>
          </w:r>
          <w:r>
            <w:fldChar w:fldCharType="separate"/>
          </w:r>
          <w:r>
            <w:t>12</w:t>
          </w:r>
          <w:r>
            <w:fldChar w:fldCharType="end"/>
          </w:r>
          <w:r>
            <w:rPr>
              <w:rFonts w:hint="eastAsia" w:ascii="宋体" w:hAnsi="宋体" w:eastAsia="宋体" w:cs="宋体"/>
              <w:szCs w:val="24"/>
            </w:rPr>
            <w:fldChar w:fldCharType="end"/>
          </w:r>
        </w:p>
        <w:p w14:paraId="7B714815">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_Toc11907 \h </w:instrText>
          </w:r>
          <w:r>
            <w:fldChar w:fldCharType="separate"/>
          </w:r>
          <w:r>
            <w:t>12</w:t>
          </w:r>
          <w:r>
            <w:fldChar w:fldCharType="end"/>
          </w:r>
          <w:r>
            <w:rPr>
              <w:rFonts w:hint="eastAsia" w:ascii="宋体" w:hAnsi="宋体" w:eastAsia="宋体" w:cs="宋体"/>
              <w:szCs w:val="24"/>
            </w:rPr>
            <w:fldChar w:fldCharType="end"/>
          </w:r>
        </w:p>
        <w:p w14:paraId="78716A04">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_Toc28410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_Toc28410 \h </w:instrText>
          </w:r>
          <w:r>
            <w:fldChar w:fldCharType="separate"/>
          </w:r>
          <w:r>
            <w:t>12</w:t>
          </w:r>
          <w:r>
            <w:fldChar w:fldCharType="end"/>
          </w:r>
          <w:r>
            <w:rPr>
              <w:rFonts w:hint="eastAsia" w:ascii="宋体" w:hAnsi="宋体" w:eastAsia="宋体" w:cs="宋体"/>
              <w:szCs w:val="24"/>
            </w:rPr>
            <w:fldChar w:fldCharType="end"/>
          </w:r>
        </w:p>
        <w:p w14:paraId="0BA1273C">
          <w:pPr>
            <w:keepNext w:val="0"/>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8F9E219">
      <w:pPr>
        <w:pStyle w:val="28"/>
        <w:keepNext w:val="0"/>
        <w:keepLines w:val="0"/>
        <w:pageBreakBefore w:val="0"/>
        <w:widowControl w:val="0"/>
        <w:wordWrap/>
        <w:overflowPunct/>
        <w:bidi w:val="0"/>
      </w:pPr>
      <w:bookmarkStart w:id="2" w:name="_Toc23668"/>
      <w:r>
        <w:t>目的</w:t>
      </w:r>
      <w:bookmarkEnd w:id="2"/>
    </w:p>
    <w:p w14:paraId="355DF60F">
      <w:pPr>
        <w:pStyle w:val="29"/>
        <w:keepNext w:val="0"/>
        <w:keepLines w:val="0"/>
        <w:pageBreakBefore w:val="0"/>
        <w:widowControl w:val="0"/>
        <w:wordWrap/>
        <w:overflowPunct/>
        <w:bidi w:val="0"/>
      </w:pPr>
      <w:r>
        <w:rPr>
          <w:rFonts w:hint="eastAsia"/>
          <w:lang w:val="en-US" w:eastAsia="zh-CN"/>
        </w:rPr>
        <w:t>为</w:t>
      </w:r>
      <w:r>
        <w:t>确保在所有情况下都可以实现向客户承诺的服务持续性，帮助客户服务在发生灾难之后尽快恢复客户服务和确保业务的持续运营,确保业务运作所需的客户基础架构和客户服务在灾难发生后的限定时间内能够得到恢复，从而对组织的总体业务持续性管理提供支持，实现公司业务持续发展而实施的管理活动，特制定本</w:t>
      </w:r>
      <w:r>
        <w:rPr>
          <w:rFonts w:hint="eastAsia"/>
          <w:lang w:val="en-US" w:eastAsia="zh-CN"/>
        </w:rPr>
        <w:t>制度</w:t>
      </w:r>
      <w:r>
        <w:t>。</w:t>
      </w:r>
    </w:p>
    <w:p w14:paraId="18C33E1A">
      <w:pPr>
        <w:pStyle w:val="28"/>
        <w:keepNext w:val="0"/>
        <w:keepLines w:val="0"/>
        <w:pageBreakBefore w:val="0"/>
        <w:widowControl w:val="0"/>
        <w:wordWrap/>
        <w:overflowPunct/>
        <w:bidi w:val="0"/>
        <w:rPr>
          <w:rFonts w:hint="eastAsia"/>
          <w:lang w:val="en-US" w:eastAsia="zh-CN"/>
        </w:rPr>
      </w:pPr>
      <w:bookmarkStart w:id="3" w:name="_Toc26510"/>
      <w:r>
        <w:rPr>
          <w:rFonts w:hint="eastAsia"/>
          <w:lang w:val="en-US" w:eastAsia="zh-CN"/>
        </w:rPr>
        <w:t>原则</w:t>
      </w:r>
      <w:bookmarkEnd w:id="3"/>
    </w:p>
    <w:p w14:paraId="1730C19E">
      <w:pPr>
        <w:pStyle w:val="29"/>
        <w:keepNext w:val="0"/>
        <w:keepLines w:val="0"/>
        <w:pageBreakBefore w:val="0"/>
        <w:widowControl w:val="0"/>
        <w:wordWrap/>
        <w:overflowPunct/>
        <w:bidi w:val="0"/>
        <w:rPr>
          <w:rFonts w:hint="eastAsia"/>
          <w:lang w:val="en-US" w:eastAsia="zh-CN"/>
        </w:rPr>
      </w:pPr>
      <w:r>
        <w:t>服务可用性</w:t>
      </w:r>
      <w:r>
        <w:rPr>
          <w:rFonts w:hint="default"/>
        </w:rPr>
        <w:t>确保服务稳定可靠，能按需访问；服务连续性则保障在中断发生后，能快速恢复并维持关键业务运行。</w:t>
      </w:r>
    </w:p>
    <w:p w14:paraId="7D7E608E">
      <w:pPr>
        <w:pStyle w:val="28"/>
        <w:keepNext w:val="0"/>
        <w:keepLines w:val="0"/>
        <w:pageBreakBefore w:val="0"/>
        <w:widowControl w:val="0"/>
        <w:wordWrap/>
        <w:overflowPunct/>
        <w:bidi w:val="0"/>
      </w:pPr>
      <w:bookmarkStart w:id="4" w:name="_Toc30529"/>
      <w:r>
        <w:rPr>
          <w:rFonts w:hint="eastAsia"/>
          <w:lang w:val="en-US" w:eastAsia="zh-CN"/>
        </w:rPr>
        <w:t>适用</w:t>
      </w:r>
      <w:r>
        <w:t>范围</w:t>
      </w:r>
      <w:bookmarkEnd w:id="4"/>
    </w:p>
    <w:p w14:paraId="260E6229">
      <w:pPr>
        <w:pStyle w:val="29"/>
        <w:keepNext w:val="0"/>
        <w:keepLines w:val="0"/>
        <w:pageBreakBefore w:val="0"/>
        <w:widowControl w:val="0"/>
        <w:wordWrap/>
        <w:overflowPunct/>
        <w:bidi w:val="0"/>
      </w:pPr>
      <w:r>
        <w:t>适用于本公司的服务业务的持续可用性及信息安全的业务持续性控制的持续管理。</w:t>
      </w:r>
    </w:p>
    <w:p w14:paraId="4155DC19">
      <w:pPr>
        <w:pStyle w:val="28"/>
        <w:keepNext w:val="0"/>
        <w:keepLines w:val="0"/>
        <w:pageBreakBefore w:val="0"/>
        <w:widowControl w:val="0"/>
        <w:wordWrap/>
        <w:overflowPunct/>
        <w:bidi w:val="0"/>
        <w:rPr>
          <w:rFonts w:hint="eastAsia"/>
          <w:lang w:val="en-US" w:eastAsia="zh-CN"/>
        </w:rPr>
      </w:pPr>
      <w:bookmarkStart w:id="5" w:name="_Toc2261"/>
      <w:r>
        <w:rPr>
          <w:rFonts w:hint="eastAsia"/>
          <w:lang w:val="en-US" w:eastAsia="zh-CN"/>
        </w:rPr>
        <w:t>岗位职责</w:t>
      </w:r>
      <w:bookmarkEnd w:id="5"/>
    </w:p>
    <w:p w14:paraId="60E0EEA2">
      <w:pPr>
        <w:pStyle w:val="30"/>
        <w:keepNext w:val="0"/>
        <w:keepLines w:val="0"/>
        <w:pageBreakBefore w:val="0"/>
        <w:widowControl w:val="0"/>
        <w:wordWrap/>
        <w:overflowPunct/>
        <w:bidi w:val="0"/>
        <w:rPr>
          <w:rFonts w:hint="default"/>
          <w:lang w:val="en-US" w:eastAsia="zh-CN"/>
        </w:rPr>
      </w:pPr>
      <w:bookmarkStart w:id="6" w:name="_Toc22276"/>
      <w:r>
        <w:rPr>
          <w:rFonts w:hint="eastAsia"/>
          <w:lang w:val="en-US" w:eastAsia="zh-CN"/>
        </w:rPr>
        <w:t>平台运维组</w:t>
      </w:r>
      <w:bookmarkEnd w:id="6"/>
    </w:p>
    <w:p w14:paraId="6582D8C8">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确保运维服务经过设计后，实际的服务级别（以可用性、</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等指标表示）能够符合约定的服务级别；制定《</w:t>
      </w:r>
      <w:r>
        <w:rPr>
          <w:rFonts w:hint="eastAsia" w:ascii="宋体" w:hAnsi="宋体" w:eastAsia="宋体" w:cs="宋体"/>
          <w:spacing w:val="-3"/>
          <w:sz w:val="24"/>
          <w:szCs w:val="24"/>
          <w:lang w:val="en-US" w:eastAsia="zh-CN"/>
        </w:rPr>
        <w:t>服务</w:t>
      </w: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和业务连续性</w:t>
      </w:r>
      <w:r>
        <w:rPr>
          <w:rFonts w:ascii="宋体" w:hAnsi="宋体" w:eastAsia="宋体" w:cs="宋体"/>
          <w:spacing w:val="-3"/>
          <w:sz w:val="24"/>
          <w:szCs w:val="24"/>
        </w:rPr>
        <w:t>计划》；</w:t>
      </w:r>
    </w:p>
    <w:p w14:paraId="4FCCD1D5">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撰写可用性报告；</w:t>
      </w:r>
    </w:p>
    <w:p w14:paraId="75FCF0A8">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优化IT基础架构的可用性，从而为提供给企业的服务实施成本合理的改进。</w:t>
      </w:r>
    </w:p>
    <w:p w14:paraId="193FA85C">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2"/>
          <w:sz w:val="24"/>
          <w:szCs w:val="24"/>
        </w:rPr>
        <w:t>实施和维护运维服务服务过程中的连续性管理，根据风险评估结果，制定并管理连续性计划</w:t>
      </w:r>
    </w:p>
    <w:p w14:paraId="4159027D">
      <w:pPr>
        <w:pStyle w:val="28"/>
        <w:keepNext w:val="0"/>
        <w:keepLines w:val="0"/>
        <w:pageBreakBefore w:val="0"/>
        <w:widowControl w:val="0"/>
        <w:wordWrap/>
        <w:overflowPunct/>
        <w:bidi w:val="0"/>
        <w:rPr>
          <w:rFonts w:hint="default"/>
          <w:lang w:val="en-US" w:eastAsia="zh-CN"/>
        </w:rPr>
      </w:pPr>
      <w:bookmarkStart w:id="7" w:name="_Toc21734"/>
      <w:r>
        <w:rPr>
          <w:rFonts w:hint="eastAsia"/>
          <w:lang w:val="en-US" w:eastAsia="zh-CN"/>
        </w:rPr>
        <w:t>管理流程</w:t>
      </w:r>
      <w:bookmarkEnd w:id="7"/>
      <w:bookmarkStart w:id="65" w:name="_GoBack"/>
      <w:bookmarkEnd w:id="65"/>
    </w:p>
    <w:p w14:paraId="32F805F7">
      <w:pPr>
        <w:pStyle w:val="30"/>
        <w:keepNext w:val="0"/>
        <w:keepLines w:val="0"/>
        <w:pageBreakBefore w:val="0"/>
        <w:widowControl w:val="0"/>
        <w:wordWrap/>
        <w:overflowPunct/>
        <w:bidi w:val="0"/>
        <w:rPr>
          <w:rFonts w:hint="default"/>
          <w:lang w:val="en-US" w:eastAsia="zh-CN"/>
        </w:rPr>
      </w:pPr>
      <w:bookmarkStart w:id="8" w:name="_Toc3678"/>
      <w:r>
        <w:rPr>
          <w:rFonts w:hint="eastAsia"/>
          <w:lang w:val="en-US" w:eastAsia="zh-CN"/>
        </w:rPr>
        <w:t>可用性</w:t>
      </w:r>
      <w:bookmarkEnd w:id="8"/>
    </w:p>
    <w:p w14:paraId="393DE24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一旦客户确定</w:t>
      </w:r>
      <w:r>
        <w:rPr>
          <w:rFonts w:hint="eastAsia" w:ascii="宋体" w:hAnsi="宋体" w:eastAsia="宋体" w:cs="宋体"/>
          <w:spacing w:val="-3"/>
          <w:sz w:val="24"/>
          <w:szCs w:val="24"/>
          <w:lang w:val="en-US" w:eastAsia="zh-CN"/>
        </w:rPr>
        <w:t>一项</w:t>
      </w:r>
      <w:r>
        <w:rPr>
          <w:rFonts w:ascii="宋体" w:hAnsi="宋体" w:eastAsia="宋体" w:cs="宋体"/>
          <w:spacing w:val="-3"/>
          <w:sz w:val="24"/>
          <w:szCs w:val="24"/>
        </w:rPr>
        <w:t>服务的可用性要求，</w:t>
      </w:r>
      <w:r>
        <w:rPr>
          <w:rFonts w:hint="eastAsia" w:ascii="宋体" w:hAnsi="宋体" w:eastAsia="宋体" w:cs="宋体"/>
          <w:spacing w:val="-3"/>
          <w:sz w:val="24"/>
          <w:szCs w:val="24"/>
          <w:lang w:eastAsia="zh-CN"/>
        </w:rPr>
        <w:t>平台运维组</w:t>
      </w:r>
      <w:r>
        <w:rPr>
          <w:rFonts w:ascii="宋体" w:hAnsi="宋体" w:eastAsia="宋体" w:cs="宋体"/>
          <w:spacing w:val="-3"/>
          <w:sz w:val="24"/>
          <w:szCs w:val="24"/>
        </w:rPr>
        <w:t>就可以确定一系列输入要求，以满足要求的服务级别。</w:t>
      </w:r>
    </w:p>
    <w:p w14:paraId="146B742E">
      <w:pPr>
        <w:pStyle w:val="31"/>
        <w:keepNext w:val="0"/>
        <w:keepLines w:val="0"/>
        <w:pageBreakBefore w:val="0"/>
        <w:widowControl w:val="0"/>
        <w:wordWrap/>
        <w:overflowPunct/>
        <w:bidi w:val="0"/>
      </w:pPr>
      <w:bookmarkStart w:id="9" w:name="bookmark12"/>
      <w:bookmarkEnd w:id="9"/>
      <w:bookmarkStart w:id="10" w:name="bookmark13"/>
      <w:bookmarkEnd w:id="10"/>
      <w:bookmarkStart w:id="11" w:name="bookmark15"/>
      <w:bookmarkEnd w:id="11"/>
      <w:bookmarkStart w:id="12" w:name="_Toc17227"/>
      <w:r>
        <w:t>识别可用性需求</w:t>
      </w:r>
      <w:bookmarkEnd w:id="12"/>
    </w:p>
    <w:p w14:paraId="06C325AF">
      <w:pPr>
        <w:pStyle w:val="40"/>
        <w:keepNext w:val="0"/>
        <w:keepLines w:val="0"/>
        <w:pageBreakBefore w:val="0"/>
        <w:widowControl w:val="0"/>
        <w:wordWrap/>
        <w:overflowPunct/>
        <w:bidi w:val="0"/>
      </w:pPr>
      <w:r>
        <w:t>需求识别时间</w:t>
      </w:r>
    </w:p>
    <w:p w14:paraId="7B4EAE3D">
      <w:pPr>
        <w:pStyle w:val="29"/>
        <w:keepNext w:val="0"/>
        <w:keepLines w:val="0"/>
        <w:pageBreakBefore w:val="0"/>
        <w:widowControl w:val="0"/>
        <w:wordWrap/>
        <w:overflowPunct/>
        <w:bidi w:val="0"/>
      </w:pPr>
      <w:r>
        <w:t>在签订《服务级别协议》之前进行；</w:t>
      </w:r>
    </w:p>
    <w:p w14:paraId="3A97BE97">
      <w:pPr>
        <w:pStyle w:val="39"/>
        <w:keepNext w:val="0"/>
        <w:keepLines w:val="0"/>
        <w:pageBreakBefore w:val="0"/>
        <w:widowControl w:val="0"/>
        <w:numPr>
          <w:ilvl w:val="0"/>
          <w:numId w:val="3"/>
        </w:numPr>
        <w:wordWrap/>
        <w:overflowPunct/>
        <w:bidi w:val="0"/>
        <w:ind w:left="425" w:leftChars="0" w:hanging="425" w:firstLineChars="0"/>
      </w:pPr>
      <w:r>
        <w:t>需考虑新的运维服务和需要对现有服务作出的变更两个方面；</w:t>
      </w:r>
    </w:p>
    <w:p w14:paraId="7EF42798">
      <w:pPr>
        <w:pStyle w:val="39"/>
        <w:keepNext w:val="0"/>
        <w:keepLines w:val="0"/>
        <w:pageBreakBefore w:val="0"/>
        <w:widowControl w:val="0"/>
        <w:numPr>
          <w:ilvl w:val="0"/>
          <w:numId w:val="3"/>
        </w:numPr>
        <w:wordWrap/>
        <w:overflowPunct/>
        <w:bidi w:val="0"/>
        <w:ind w:left="425" w:leftChars="0" w:hanging="425" w:firstLineChars="0"/>
      </w:pPr>
      <w:r>
        <w:t>应当在尽可能早的阶段确定是否能够满足这些需求以及怎样满足这些需求。</w:t>
      </w:r>
    </w:p>
    <w:p w14:paraId="50FBB95F">
      <w:pPr>
        <w:pStyle w:val="40"/>
        <w:keepNext w:val="0"/>
        <w:keepLines w:val="0"/>
        <w:pageBreakBefore w:val="0"/>
        <w:widowControl w:val="0"/>
        <w:wordWrap/>
        <w:overflowPunct/>
        <w:bidi w:val="0"/>
      </w:pPr>
      <w:bookmarkStart w:id="13" w:name="bookmark17"/>
      <w:bookmarkEnd w:id="13"/>
      <w:bookmarkStart w:id="14" w:name="bookmark16"/>
      <w:bookmarkEnd w:id="14"/>
      <w:bookmarkStart w:id="15" w:name="bookmark18"/>
      <w:bookmarkEnd w:id="15"/>
      <w:bookmarkStart w:id="16" w:name="bookmark19"/>
      <w:bookmarkEnd w:id="16"/>
      <w:r>
        <w:t>需求识别应考虑内容</w:t>
      </w:r>
    </w:p>
    <w:p w14:paraId="117B3F37">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33E6C957">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约定的运维服务中断时间；</w:t>
      </w:r>
    </w:p>
    <w:p w14:paraId="025162D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17" w:name="bookmark43"/>
      <w:bookmarkEnd w:id="17"/>
      <w:r>
        <w:rPr>
          <w:rFonts w:ascii="宋体" w:hAnsi="宋体" w:eastAsia="宋体" w:cs="宋体"/>
          <w:spacing w:val="-3"/>
          <w:sz w:val="24"/>
          <w:szCs w:val="24"/>
        </w:rPr>
        <w:t>可量化的可用性需求；</w:t>
      </w:r>
    </w:p>
    <w:p w14:paraId="6B6D903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非计划的运维服务中断对业务功能所产生的可量化的影响；</w:t>
      </w:r>
    </w:p>
    <w:p w14:paraId="59FC53C9">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客户的业务运作时段；</w:t>
      </w:r>
    </w:p>
    <w:p w14:paraId="50E44F2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有关维护窗口期的约定。</w:t>
      </w:r>
    </w:p>
    <w:p w14:paraId="05F45167">
      <w:pPr>
        <w:pStyle w:val="31"/>
        <w:keepNext w:val="0"/>
        <w:keepLines w:val="0"/>
        <w:pageBreakBefore w:val="0"/>
        <w:widowControl w:val="0"/>
        <w:wordWrap/>
        <w:overflowPunct/>
        <w:bidi w:val="0"/>
      </w:pPr>
      <w:bookmarkStart w:id="18" w:name="_Toc20602"/>
      <w:r>
        <w:t>可用性设计</w:t>
      </w:r>
      <w:bookmarkEnd w:id="18"/>
    </w:p>
    <w:p w14:paraId="7E77EDD9">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那些影响可用性标准的薄弱环节应当尽早得到确认。有助于防止额外的开发成本、计划外的后期支出、单点故障、供应商收取的额外成本以及延迟的发布等情况发生。</w:t>
      </w:r>
    </w:p>
    <w:p w14:paraId="0847609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基于适当的可用性标准的一个良好的可用性设计可以使得有可能与供应商签订有效的维护合同。设计过程中采用了一些技巧，如确认单点故障的组件故障影响度分析。</w:t>
      </w:r>
    </w:p>
    <w:p w14:paraId="4EFD59C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如果可用性标准不能够实现，最好的选择是确认设计是否可以进一步改进。</w:t>
      </w:r>
    </w:p>
    <w:p w14:paraId="3009BC03">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如果可用性需求特别难以达到，则应当考虑使用其它的容错技术、其它的服务流程（事件管理、问题管理和变更管理）或额外的服务管理资源。</w:t>
      </w:r>
    </w:p>
    <w:p w14:paraId="72289D17">
      <w:pPr>
        <w:pStyle w:val="31"/>
        <w:keepNext w:val="0"/>
        <w:keepLines w:val="0"/>
        <w:pageBreakBefore w:val="0"/>
        <w:widowControl w:val="0"/>
        <w:wordWrap/>
        <w:overflowPunct/>
        <w:bidi w:val="0"/>
      </w:pPr>
      <w:bookmarkStart w:id="19" w:name="bookmark20"/>
      <w:bookmarkEnd w:id="19"/>
      <w:bookmarkStart w:id="20" w:name="bookmark21"/>
      <w:bookmarkEnd w:id="20"/>
      <w:bookmarkStart w:id="21" w:name="_Toc30010"/>
      <w:r>
        <w:t>恢复方案设计</w:t>
      </w:r>
      <w:bookmarkEnd w:id="21"/>
    </w:p>
    <w:p w14:paraId="66EC4AF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确保运维服务故障发生后，运维服务能在最短的时间内得以恢复以使正常的业务运营继续进行；</w:t>
      </w:r>
    </w:p>
    <w:p w14:paraId="3EB588E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设计恢复方案考虑因素：</w:t>
      </w:r>
    </w:p>
    <w:p w14:paraId="701BECAB">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确保业务与技术恢复流程是正确的；</w:t>
      </w:r>
    </w:p>
    <w:p w14:paraId="2DB66ED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清晰定义负责主要事件的员工的职责。</w:t>
      </w:r>
    </w:p>
    <w:p w14:paraId="7D5F4093">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安全性问题</w:t>
      </w:r>
    </w:p>
    <w:p w14:paraId="4885889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安全性和可靠性是密切相关的，一个较差的信息安全设计会直接影响到服务的可用性。</w:t>
      </w:r>
    </w:p>
    <w:p w14:paraId="37C40C39">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22" w:name="bookmark44"/>
      <w:bookmarkEnd w:id="22"/>
      <w:r>
        <w:rPr>
          <w:rFonts w:ascii="宋体" w:hAnsi="宋体" w:eastAsia="宋体" w:cs="宋体"/>
          <w:spacing w:val="-3"/>
          <w:sz w:val="24"/>
          <w:szCs w:val="24"/>
        </w:rPr>
        <w:t>高可用性要靠有效的信息安全来支撑。在规划阶段，应该考虑相关的安全问题，对安全问题可能给服务供应带来的影响也应当加以分析。</w:t>
      </w:r>
    </w:p>
    <w:p w14:paraId="55D05F7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与安全问题相关的活动主要有：</w:t>
      </w:r>
    </w:p>
    <w:p w14:paraId="63B452CF">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确定谁将有权访问安全区域；</w:t>
      </w:r>
    </w:p>
    <w:p w14:paraId="3A4434BA">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确定需要作出哪项关键授权。</w:t>
      </w:r>
    </w:p>
    <w:p w14:paraId="322C142C">
      <w:pPr>
        <w:pStyle w:val="31"/>
        <w:keepNext w:val="0"/>
        <w:keepLines w:val="0"/>
        <w:pageBreakBefore w:val="0"/>
        <w:widowControl w:val="0"/>
        <w:wordWrap/>
        <w:overflowPunct/>
        <w:bidi w:val="0"/>
      </w:pPr>
      <w:bookmarkStart w:id="23" w:name="bookmark23"/>
      <w:bookmarkEnd w:id="23"/>
      <w:bookmarkStart w:id="24" w:name="bookmark22"/>
      <w:bookmarkEnd w:id="24"/>
      <w:bookmarkStart w:id="25" w:name="_Toc29059"/>
      <w:r>
        <w:t>维护管理</w:t>
      </w:r>
      <w:bookmarkEnd w:id="25"/>
    </w:p>
    <w:p w14:paraId="66B938E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IT组件都必须按照计划进行维护活动。有计划的维护活动可以使IT支持部门能够：实施预防性维护以避免故障的发生；</w:t>
      </w:r>
    </w:p>
    <w:p w14:paraId="0E347453">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及时进行软件和硬件升级以提供新的功能和额外的服务能力；</w:t>
      </w:r>
    </w:p>
    <w:p w14:paraId="0A9546B1">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根据业务需求对IT基础设施实施必要的变更；</w:t>
      </w:r>
    </w:p>
    <w:p w14:paraId="60EA73E2">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激活IT基础设施中新增的功能。</w:t>
      </w:r>
    </w:p>
    <w:p w14:paraId="4701F614">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计划性维护活动涉及的首要问题是计划停机时间。</w:t>
      </w:r>
    </w:p>
    <w:p w14:paraId="3143C68D">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在确定新增或改进后的运维服务的可用性需求时，需要明确计划性维护所需的停机时间以及由此导致的收入方面的损失。</w:t>
      </w:r>
    </w:p>
    <w:p w14:paraId="6BED9C60">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在运维服务1天24小时或一周7天都必须正常运作的情况下，可用性管理就必须在权衡计划停机时间需求和相应的业务损失之后确定最优的维护方案。</w:t>
      </w:r>
    </w:p>
    <w:p w14:paraId="7AAC7E3B">
      <w:pPr>
        <w:pStyle w:val="31"/>
        <w:keepNext w:val="0"/>
        <w:keepLines w:val="0"/>
        <w:pageBreakBefore w:val="0"/>
        <w:widowControl w:val="0"/>
        <w:wordWrap/>
        <w:overflowPunct/>
        <w:bidi w:val="0"/>
      </w:pPr>
      <w:bookmarkStart w:id="26" w:name="bookmark24"/>
      <w:bookmarkEnd w:id="26"/>
      <w:bookmarkStart w:id="27" w:name="bookmark25"/>
      <w:bookmarkEnd w:id="27"/>
      <w:bookmarkStart w:id="28" w:name="_Toc3773"/>
      <w:r>
        <w:t>制定《</w:t>
      </w:r>
      <w:r>
        <w:rPr>
          <w:rFonts w:hint="eastAsia"/>
          <w:lang w:eastAsia="zh-CN"/>
        </w:rPr>
        <w:t>可用性管理计划</w:t>
      </w:r>
      <w:r>
        <w:t>》</w:t>
      </w:r>
      <w:bookmarkEnd w:id="28"/>
    </w:p>
    <w:p w14:paraId="487899E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为有效地实施有关可用性管理活动以改进IT组件及服务的可用性，必须制定明确的《可用性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w:t>
      </w:r>
    </w:p>
    <w:p w14:paraId="53F8E9DE">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计划》不仅需要关注技术方面的问题，还应对可用性管理的人员、流程、工具和技巧等方面进行考虑。在可用性管理的初始阶段，可用性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计划与实施通常是紧密结合进行的，但这两者却又是不同的，不能将它们混淆《</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》的计划周期应当覆盖协议约定时长。</w:t>
      </w:r>
    </w:p>
    <w:p w14:paraId="53BF8B87">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》应当和《</w:t>
      </w:r>
      <w:r>
        <w:rPr>
          <w:rFonts w:hint="eastAsia" w:ascii="宋体" w:hAnsi="宋体" w:eastAsia="宋体" w:cs="宋体"/>
          <w:spacing w:val="-3"/>
          <w:sz w:val="24"/>
          <w:szCs w:val="24"/>
          <w:lang w:val="en-US" w:eastAsia="zh-CN"/>
        </w:rPr>
        <w:t>运维服务</w:t>
      </w:r>
      <w:r>
        <w:rPr>
          <w:rFonts w:ascii="宋体" w:hAnsi="宋体" w:eastAsia="宋体" w:cs="宋体"/>
          <w:spacing w:val="-3"/>
          <w:sz w:val="24"/>
          <w:szCs w:val="24"/>
        </w:rPr>
        <w:t>能力</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计划》的周期保持一致。</w:t>
      </w:r>
    </w:p>
    <w:p w14:paraId="40D634B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》一般包括以下部分：</w:t>
      </w:r>
    </w:p>
    <w:p w14:paraId="3F5CDB41">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对目前状况可用性的评估；</w:t>
      </w:r>
    </w:p>
    <w:p w14:paraId="1E09E91C">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改善现有服务活动的步骤；</w:t>
      </w:r>
    </w:p>
    <w:p w14:paraId="334CF0DC">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实施新服务与维护的一系列计划。</w:t>
      </w:r>
    </w:p>
    <w:p w14:paraId="3352010B">
      <w:pPr>
        <w:pStyle w:val="31"/>
        <w:keepNext w:val="0"/>
        <w:keepLines w:val="0"/>
        <w:pageBreakBefore w:val="0"/>
        <w:widowControl w:val="0"/>
        <w:wordWrap/>
        <w:overflowPunct/>
        <w:bidi w:val="0"/>
      </w:pPr>
      <w:bookmarkStart w:id="29" w:name="bookmark26"/>
      <w:bookmarkEnd w:id="29"/>
      <w:bookmarkStart w:id="30" w:name="bookmark27"/>
      <w:bookmarkEnd w:id="30"/>
      <w:r>
        <w:t xml:space="preserve"> </w:t>
      </w:r>
      <w:bookmarkStart w:id="31" w:name="_Toc19388"/>
      <w:r>
        <w:t>监控、评价和报告</w:t>
      </w:r>
      <w:bookmarkEnd w:id="31"/>
    </w:p>
    <w:p w14:paraId="7B52C5A6">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评价和报告是重要的可用性管理活动，它们为核实服务协议，解决问题和制定改进建议提供了基础</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形成《可用性管理计划评审报告》</w:t>
      </w:r>
      <w:r>
        <w:rPr>
          <w:rFonts w:ascii="宋体" w:hAnsi="宋体" w:eastAsia="宋体" w:cs="宋体"/>
          <w:spacing w:val="-3"/>
          <w:sz w:val="24"/>
          <w:szCs w:val="24"/>
        </w:rPr>
        <w:t>。</w:t>
      </w:r>
    </w:p>
    <w:p w14:paraId="5B02DCCE">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可用性报告在每次服务报告中作相应说明，其中可以包括下列指标：</w:t>
      </w:r>
    </w:p>
    <w:p w14:paraId="37AE0FFB">
      <w:pPr>
        <w:pStyle w:val="39"/>
        <w:keepNext w:val="0"/>
        <w:keepLines w:val="0"/>
        <w:pageBreakBefore w:val="0"/>
        <w:widowControl w:val="0"/>
        <w:numPr>
          <w:ilvl w:val="0"/>
          <w:numId w:val="12"/>
        </w:numPr>
        <w:wordWrap/>
        <w:overflowPunct/>
        <w:bidi w:val="0"/>
        <w:ind w:left="845" w:leftChars="0" w:hanging="425" w:firstLineChars="0"/>
      </w:pPr>
      <w:r>
        <w:t>以平均修复时间（MTTR）、平均无故障时间（MTBF）和平均系统事件间隔时间表示的可用率（或不可用率）；</w:t>
      </w:r>
    </w:p>
    <w:p w14:paraId="3FBD82BE">
      <w:pPr>
        <w:pStyle w:val="39"/>
        <w:keepNext w:val="0"/>
        <w:keepLines w:val="0"/>
        <w:pageBreakBefore w:val="0"/>
        <w:widowControl w:val="0"/>
        <w:numPr>
          <w:ilvl w:val="0"/>
          <w:numId w:val="12"/>
        </w:numPr>
        <w:wordWrap/>
        <w:overflowPunct/>
        <w:bidi w:val="0"/>
        <w:ind w:left="845" w:leftChars="0" w:hanging="425" w:firstLineChars="0"/>
      </w:pPr>
      <w:r>
        <w:t>总体正常运作时间和宕机时间；</w:t>
      </w:r>
    </w:p>
    <w:p w14:paraId="5F0EEB31">
      <w:pPr>
        <w:pStyle w:val="39"/>
        <w:keepNext w:val="0"/>
        <w:keepLines w:val="0"/>
        <w:pageBreakBefore w:val="0"/>
        <w:widowControl w:val="0"/>
        <w:numPr>
          <w:ilvl w:val="0"/>
          <w:numId w:val="12"/>
        </w:numPr>
        <w:wordWrap/>
        <w:overflowPunct/>
        <w:bidi w:val="0"/>
        <w:ind w:left="845" w:leftChars="0" w:hanging="425" w:firstLineChars="0"/>
      </w:pPr>
      <w:r>
        <w:t>故障的次数；</w:t>
      </w:r>
    </w:p>
    <w:p w14:paraId="3CC8043A">
      <w:pPr>
        <w:pStyle w:val="39"/>
        <w:keepNext w:val="0"/>
        <w:keepLines w:val="0"/>
        <w:pageBreakBefore w:val="0"/>
        <w:widowControl w:val="0"/>
        <w:numPr>
          <w:ilvl w:val="0"/>
          <w:numId w:val="12"/>
        </w:numPr>
        <w:wordWrap/>
        <w:overflowPunct/>
        <w:bidi w:val="0"/>
        <w:ind w:left="845" w:leftChars="0" w:hanging="425" w:firstLineChars="0"/>
      </w:pPr>
      <w:r>
        <w:t>有关故障可能实际或潜在地导致比约定数更高的不可用率的额外信息。</w:t>
      </w:r>
    </w:p>
    <w:p w14:paraId="797753AD">
      <w:pPr>
        <w:pStyle w:val="30"/>
        <w:keepNext w:val="0"/>
        <w:keepLines w:val="0"/>
        <w:pageBreakBefore w:val="0"/>
        <w:widowControl w:val="0"/>
        <w:wordWrap/>
        <w:overflowPunct/>
        <w:bidi w:val="0"/>
        <w:rPr>
          <w:rFonts w:hint="default"/>
          <w:lang w:val="en-US" w:eastAsia="zh-CN"/>
        </w:rPr>
      </w:pPr>
      <w:bookmarkStart w:id="32" w:name="_Toc13797"/>
      <w:r>
        <w:rPr>
          <w:rFonts w:hint="eastAsia"/>
          <w:lang w:val="en-US" w:eastAsia="zh-CN"/>
        </w:rPr>
        <w:t>连续性</w:t>
      </w:r>
      <w:bookmarkEnd w:id="32"/>
    </w:p>
    <w:p w14:paraId="4803379A">
      <w:pPr>
        <w:pStyle w:val="31"/>
        <w:keepNext w:val="0"/>
        <w:keepLines w:val="0"/>
        <w:pageBreakBefore w:val="0"/>
        <w:widowControl w:val="0"/>
        <w:wordWrap/>
        <w:overflowPunct/>
        <w:bidi w:val="0"/>
      </w:pPr>
      <w:bookmarkStart w:id="33" w:name="_Toc13929"/>
      <w:r>
        <w:t>初始化阶段</w:t>
      </w:r>
      <w:bookmarkEnd w:id="33"/>
    </w:p>
    <w:p w14:paraId="3FB51F95">
      <w:pPr>
        <w:pStyle w:val="40"/>
        <w:keepNext w:val="0"/>
        <w:keepLines w:val="0"/>
        <w:pageBreakBefore w:val="0"/>
        <w:widowControl w:val="0"/>
        <w:wordWrap/>
        <w:overflowPunct/>
        <w:bidi w:val="0"/>
      </w:pPr>
      <w:bookmarkStart w:id="34" w:name="bookmark47"/>
      <w:bookmarkEnd w:id="34"/>
      <w:r>
        <w:t>定义组织策略</w:t>
      </w:r>
    </w:p>
    <w:p w14:paraId="48FB52E4">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有关运维服务连续性管理的政策应当尽早地制定并充分传达给组织内所</w:t>
      </w:r>
      <w:r>
        <w:rPr>
          <w:rFonts w:ascii="宋体" w:hAnsi="宋体" w:eastAsia="宋体" w:cs="宋体"/>
          <w:spacing w:val="-1"/>
          <w:sz w:val="24"/>
          <w:szCs w:val="24"/>
        </w:rPr>
        <w:t>有的相关人员，从而使他们意识到实施运维服务连续性管理的需求；</w:t>
      </w:r>
      <w:r>
        <w:rPr>
          <w:rFonts w:ascii="宋体" w:hAnsi="宋体" w:eastAsia="宋体" w:cs="宋体"/>
          <w:spacing w:val="2"/>
          <w:sz w:val="24"/>
          <w:szCs w:val="24"/>
        </w:rPr>
        <w:t>同时管理层也需要明确表达他们的承诺。</w:t>
      </w:r>
    </w:p>
    <w:p w14:paraId="1F1C5C8D">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pacing w:val="-3"/>
          <w:sz w:val="24"/>
          <w:szCs w:val="24"/>
        </w:rPr>
        <w:t>运用风险评估方法来估计运维服务风险发生的概率，为了管理这些风险，</w:t>
      </w:r>
      <w:r>
        <w:rPr>
          <w:rFonts w:ascii="宋体" w:hAnsi="宋体" w:eastAsia="宋体" w:cs="宋体"/>
          <w:sz w:val="24"/>
          <w:szCs w:val="24"/>
        </w:rPr>
        <w:t>组织需要制定风险预防和风险恢复方案，这些措施应基于质量标准；安</w:t>
      </w:r>
      <w:r>
        <w:rPr>
          <w:rFonts w:ascii="宋体" w:hAnsi="宋体" w:eastAsia="宋体" w:cs="宋体"/>
          <w:spacing w:val="-1"/>
          <w:sz w:val="24"/>
          <w:szCs w:val="24"/>
        </w:rPr>
        <w:t>全管理指南和通用的组织策略</w:t>
      </w:r>
      <w:r>
        <w:rPr>
          <w:rFonts w:hint="eastAsia" w:ascii="宋体" w:hAnsi="宋体" w:eastAsia="宋体" w:cs="宋体"/>
          <w:spacing w:val="-1"/>
          <w:sz w:val="24"/>
          <w:szCs w:val="24"/>
          <w:lang w:eastAsia="zh-CN"/>
        </w:rPr>
        <w:t>。</w:t>
      </w:r>
    </w:p>
    <w:p w14:paraId="6734746D">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确定适当的管理架构（清楚划分职责）和应对灾</w:t>
      </w:r>
      <w:r>
        <w:rPr>
          <w:rFonts w:ascii="宋体" w:hAnsi="宋体" w:eastAsia="宋体" w:cs="宋体"/>
          <w:spacing w:val="-2"/>
          <w:sz w:val="24"/>
          <w:szCs w:val="24"/>
        </w:rPr>
        <w:t>难的流程。</w:t>
      </w:r>
    </w:p>
    <w:p w14:paraId="55548D3E">
      <w:pPr>
        <w:pStyle w:val="40"/>
        <w:keepNext w:val="0"/>
        <w:keepLines w:val="0"/>
        <w:pageBreakBefore w:val="0"/>
        <w:widowControl w:val="0"/>
        <w:wordWrap/>
        <w:overflowPunct/>
        <w:bidi w:val="0"/>
      </w:pPr>
      <w:r>
        <w:t>分配资源</w:t>
      </w:r>
    </w:p>
    <w:p w14:paraId="348899D8">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需要投入人力和物力建立一个运维服务连续性管理环境。</w:t>
      </w:r>
    </w:p>
    <w:p w14:paraId="7D3BBEEB">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组织需要对员工进行培训来保证员工有能力实施风险预防和灾难恢复措施。</w:t>
      </w:r>
    </w:p>
    <w:p w14:paraId="078D3FB4">
      <w:pPr>
        <w:pStyle w:val="31"/>
        <w:keepNext w:val="0"/>
        <w:keepLines w:val="0"/>
        <w:pageBreakBefore w:val="0"/>
        <w:widowControl w:val="0"/>
        <w:wordWrap/>
        <w:overflowPunct/>
        <w:bidi w:val="0"/>
      </w:pPr>
      <w:bookmarkStart w:id="35" w:name="_Toc20627"/>
      <w:r>
        <w:t>分析规划阶段</w:t>
      </w:r>
      <w:bookmarkEnd w:id="35"/>
    </w:p>
    <w:p w14:paraId="6F495897">
      <w:pPr>
        <w:pStyle w:val="40"/>
        <w:keepNext w:val="0"/>
        <w:keepLines w:val="0"/>
        <w:pageBreakBefore w:val="0"/>
        <w:widowControl w:val="0"/>
        <w:wordWrap/>
        <w:overflowPunct/>
        <w:bidi w:val="0"/>
      </w:pPr>
      <w:bookmarkStart w:id="36" w:name="bookmark48"/>
      <w:bookmarkEnd w:id="36"/>
      <w:r>
        <w:t>业务影响分析</w:t>
      </w:r>
    </w:p>
    <w:p w14:paraId="185543BA">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在有些情况下，服务在灾难发生后仍可以继</w:t>
      </w:r>
      <w:r>
        <w:rPr>
          <w:rFonts w:ascii="宋体" w:hAnsi="宋体" w:eastAsia="宋体" w:cs="宋体"/>
          <w:spacing w:val="2"/>
          <w:sz w:val="24"/>
          <w:szCs w:val="24"/>
        </w:rPr>
        <w:t>续运作一段时间，因而其重</w:t>
      </w:r>
      <w:bookmarkStart w:id="37" w:name="bookmark49"/>
      <w:bookmarkEnd w:id="37"/>
      <w:r>
        <w:rPr>
          <w:rFonts w:ascii="宋体" w:hAnsi="宋体" w:eastAsia="宋体" w:cs="宋体"/>
          <w:sz w:val="24"/>
          <w:szCs w:val="24"/>
        </w:rPr>
        <w:t>点是恢复服务；而在其它情况下，没有运维服务的</w:t>
      </w:r>
      <w:r>
        <w:rPr>
          <w:rFonts w:ascii="宋体" w:hAnsi="宋体" w:eastAsia="宋体" w:cs="宋体"/>
          <w:spacing w:val="-1"/>
          <w:sz w:val="24"/>
          <w:szCs w:val="24"/>
        </w:rPr>
        <w:t>支持业务将完全不能运作，因而其重点将是预防。</w:t>
      </w:r>
    </w:p>
    <w:p w14:paraId="7D0200F2">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服务分析：对某些不重要的服务而言，可</w:t>
      </w:r>
      <w:r>
        <w:rPr>
          <w:rFonts w:ascii="宋体" w:hAnsi="宋体" w:eastAsia="宋体" w:cs="宋体"/>
          <w:spacing w:val="2"/>
          <w:sz w:val="24"/>
          <w:szCs w:val="24"/>
        </w:rPr>
        <w:t>以规定在灾难发生时使用能力</w:t>
      </w:r>
      <w:r>
        <w:rPr>
          <w:rFonts w:ascii="宋体" w:hAnsi="宋体" w:eastAsia="宋体" w:cs="宋体"/>
          <w:sz w:val="24"/>
          <w:szCs w:val="24"/>
        </w:rPr>
        <w:t>和可用性有限的应急服务。但需要注意的是，即便是在灾难恢复期间，服务级别也只有在与客户达成协议之后才能进行修改。对于关键性服务</w:t>
      </w:r>
      <w:r>
        <w:rPr>
          <w:rFonts w:ascii="宋体" w:hAnsi="宋体" w:eastAsia="宋体" w:cs="宋体"/>
          <w:spacing w:val="-1"/>
          <w:sz w:val="24"/>
          <w:szCs w:val="24"/>
        </w:rPr>
        <w:t>来说，必须在进行预防和制定恢复方案之间选择某种平衡</w:t>
      </w:r>
    </w:p>
    <w:p w14:paraId="30F10585">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基础架构分析：在完成服务分析之后，需要</w:t>
      </w:r>
      <w:r>
        <w:rPr>
          <w:rFonts w:ascii="宋体" w:hAnsi="宋体" w:eastAsia="宋体" w:cs="宋体"/>
          <w:spacing w:val="-3"/>
          <w:sz w:val="24"/>
          <w:szCs w:val="24"/>
        </w:rPr>
        <w:t>评估服务和</w:t>
      </w:r>
      <w:r>
        <w:rPr>
          <w:rFonts w:ascii="宋体" w:hAnsi="宋体" w:eastAsia="宋体" w:cs="宋体"/>
          <w:spacing w:val="-38"/>
          <w:sz w:val="24"/>
          <w:szCs w:val="24"/>
        </w:rPr>
        <w:t xml:space="preserve"> </w:t>
      </w:r>
      <w:r>
        <w:rPr>
          <w:rFonts w:ascii="宋体" w:hAnsi="宋体" w:eastAsia="宋体" w:cs="宋体"/>
          <w:spacing w:val="-3"/>
          <w:sz w:val="24"/>
          <w:szCs w:val="24"/>
        </w:rPr>
        <w:t>IT</w:t>
      </w:r>
      <w:r>
        <w:rPr>
          <w:rFonts w:ascii="宋体" w:hAnsi="宋体" w:eastAsia="宋体" w:cs="宋体"/>
          <w:spacing w:val="-40"/>
          <w:sz w:val="24"/>
          <w:szCs w:val="24"/>
        </w:rPr>
        <w:t xml:space="preserve"> </w:t>
      </w:r>
      <w:r>
        <w:rPr>
          <w:rFonts w:ascii="宋体" w:hAnsi="宋体" w:eastAsia="宋体" w:cs="宋体"/>
          <w:spacing w:val="-3"/>
          <w:sz w:val="24"/>
          <w:szCs w:val="24"/>
        </w:rPr>
        <w:t>资源之间的依</w:t>
      </w:r>
      <w:r>
        <w:rPr>
          <w:rFonts w:ascii="宋体" w:hAnsi="宋体" w:eastAsia="宋体" w:cs="宋体"/>
          <w:spacing w:val="-1"/>
          <w:sz w:val="24"/>
          <w:szCs w:val="24"/>
        </w:rPr>
        <w:t>赖关系，灾难恢复服务所需要的额外资源。</w:t>
      </w:r>
    </w:p>
    <w:p w14:paraId="45B552BF">
      <w:pPr>
        <w:pStyle w:val="40"/>
        <w:keepNext w:val="0"/>
        <w:keepLines w:val="0"/>
        <w:pageBreakBefore w:val="0"/>
        <w:widowControl w:val="0"/>
        <w:wordWrap/>
        <w:overflowPunct/>
        <w:bidi w:val="0"/>
      </w:pPr>
      <w:r>
        <w:t>风险评估</w:t>
      </w:r>
    </w:p>
    <w:p w14:paraId="5FC451AF">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通过确认业务中存在的威胁和薄弱环节以</w:t>
      </w:r>
      <w:r>
        <w:rPr>
          <w:rFonts w:ascii="宋体" w:hAnsi="宋体" w:eastAsia="宋体" w:cs="宋体"/>
          <w:spacing w:val="2"/>
          <w:sz w:val="24"/>
          <w:szCs w:val="24"/>
        </w:rPr>
        <w:t>及相关的预防措施可以为管理</w:t>
      </w:r>
      <w:r>
        <w:rPr>
          <w:rFonts w:ascii="宋体" w:hAnsi="宋体" w:eastAsia="宋体" w:cs="宋体"/>
          <w:spacing w:val="-1"/>
          <w:sz w:val="24"/>
          <w:szCs w:val="24"/>
        </w:rPr>
        <w:t>层提供有价值的信息。</w:t>
      </w:r>
    </w:p>
    <w:p w14:paraId="52EB0912">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优先考虑使用各种预防措施。如果所有这类</w:t>
      </w:r>
      <w:r>
        <w:rPr>
          <w:rFonts w:ascii="宋体" w:hAnsi="宋体" w:eastAsia="宋体" w:cs="宋体"/>
          <w:spacing w:val="2"/>
          <w:sz w:val="24"/>
          <w:szCs w:val="24"/>
        </w:rPr>
        <w:t>预防措施全都用上了，则有</w:t>
      </w:r>
      <w:r>
        <w:rPr>
          <w:rFonts w:ascii="宋体" w:hAnsi="宋体" w:eastAsia="宋体" w:cs="宋体"/>
          <w:spacing w:val="-1"/>
          <w:sz w:val="24"/>
          <w:szCs w:val="24"/>
        </w:rPr>
        <w:t>必要进一步确定是否还存在需要制定应急计划的残余风险。</w:t>
      </w:r>
    </w:p>
    <w:p w14:paraId="61E57C43">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风险分析</w:t>
      </w:r>
    </w:p>
    <w:p w14:paraId="5F97B12C">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position w:val="3"/>
          <w:sz w:val="24"/>
          <w:szCs w:val="24"/>
        </w:rPr>
        <w:t>必要确认相关的IT</w:t>
      </w:r>
      <w:r>
        <w:rPr>
          <w:rFonts w:ascii="宋体" w:hAnsi="宋体" w:eastAsia="宋体" w:cs="宋体"/>
          <w:spacing w:val="-48"/>
          <w:position w:val="3"/>
          <w:sz w:val="24"/>
          <w:szCs w:val="24"/>
        </w:rPr>
        <w:t xml:space="preserve"> </w:t>
      </w:r>
      <w:r>
        <w:rPr>
          <w:rFonts w:ascii="宋体" w:hAnsi="宋体" w:eastAsia="宋体" w:cs="宋体"/>
          <w:spacing w:val="-2"/>
          <w:position w:val="3"/>
          <w:sz w:val="24"/>
          <w:szCs w:val="24"/>
        </w:rPr>
        <w:t>组件（资产</w:t>
      </w:r>
      <w:r>
        <w:rPr>
          <w:rFonts w:ascii="宋体" w:hAnsi="宋体" w:eastAsia="宋体" w:cs="宋体"/>
          <w:spacing w:val="-48"/>
          <w:position w:val="3"/>
          <w:sz w:val="24"/>
          <w:szCs w:val="24"/>
        </w:rPr>
        <w:t>），</w:t>
      </w:r>
      <w:r>
        <w:rPr>
          <w:rFonts w:ascii="宋体" w:hAnsi="宋体" w:eastAsia="宋体" w:cs="宋体"/>
          <w:spacing w:val="-2"/>
          <w:position w:val="3"/>
          <w:sz w:val="24"/>
          <w:szCs w:val="24"/>
        </w:rPr>
        <w:t>包括建筑物、系统和数据等；</w:t>
      </w:r>
    </w:p>
    <w:p w14:paraId="624B43DF">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分析这些资产所面临的威胁以及这些威胁之间的相关程度，并估计</w:t>
      </w:r>
      <w:r>
        <w:rPr>
          <w:rFonts w:ascii="宋体" w:hAnsi="宋体" w:eastAsia="宋体" w:cs="宋体"/>
          <w:spacing w:val="-2"/>
          <w:sz w:val="24"/>
          <w:szCs w:val="24"/>
        </w:rPr>
        <w:t>灾难发生的可能性；</w:t>
      </w:r>
    </w:p>
    <w:p w14:paraId="3490845F">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要确认这些资产的薄弱环节，并进</w:t>
      </w:r>
      <w:r>
        <w:rPr>
          <w:rFonts w:ascii="宋体" w:hAnsi="宋体" w:eastAsia="宋体" w:cs="宋体"/>
          <w:spacing w:val="-1"/>
          <w:position w:val="3"/>
          <w:sz w:val="24"/>
          <w:szCs w:val="24"/>
        </w:rPr>
        <w:t>行分类；</w:t>
      </w:r>
    </w:p>
    <w:p w14:paraId="2476B97F">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根据各IT</w:t>
      </w:r>
      <w:r>
        <w:rPr>
          <w:rFonts w:ascii="宋体" w:hAnsi="宋体" w:eastAsia="宋体" w:cs="宋体"/>
          <w:spacing w:val="-48"/>
          <w:sz w:val="24"/>
          <w:szCs w:val="24"/>
        </w:rPr>
        <w:t xml:space="preserve"> </w:t>
      </w:r>
      <w:r>
        <w:rPr>
          <w:rFonts w:ascii="宋体" w:hAnsi="宋体" w:eastAsia="宋体" w:cs="宋体"/>
          <w:spacing w:val="-3"/>
          <w:sz w:val="24"/>
          <w:szCs w:val="24"/>
        </w:rPr>
        <w:t>组件的具体情况评估威胁和薄弱环节，从而评估风险的级</w:t>
      </w:r>
      <w:r>
        <w:rPr>
          <w:rFonts w:ascii="宋体" w:hAnsi="宋体" w:eastAsia="宋体" w:cs="宋体"/>
          <w:spacing w:val="-7"/>
          <w:sz w:val="24"/>
          <w:szCs w:val="24"/>
        </w:rPr>
        <w:t>别。</w:t>
      </w:r>
    </w:p>
    <w:p w14:paraId="2C341F80">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5BC25C04">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不采取任何措施，此方案应用于无需运维服务能独立运营</w:t>
      </w:r>
      <w:r>
        <w:rPr>
          <w:rFonts w:ascii="宋体" w:hAnsi="宋体" w:eastAsia="宋体" w:cs="宋体"/>
          <w:spacing w:val="-1"/>
          <w:position w:val="3"/>
          <w:sz w:val="24"/>
          <w:szCs w:val="24"/>
        </w:rPr>
        <w:t>的部门。</w:t>
      </w:r>
    </w:p>
    <w:p w14:paraId="5B16FF3E">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回复至手工（基于纸质的）系统-这种方案对于那些对业务有关键性</w:t>
      </w:r>
      <w:r>
        <w:rPr>
          <w:rFonts w:ascii="宋体" w:hAnsi="宋体" w:eastAsia="宋体" w:cs="宋体"/>
          <w:spacing w:val="2"/>
          <w:sz w:val="24"/>
          <w:szCs w:val="24"/>
        </w:rPr>
        <w:t>影响的服务来说是不可接受的，但对于那些不甚重要的、小的服务</w:t>
      </w:r>
      <w:r>
        <w:rPr>
          <w:rFonts w:ascii="宋体" w:hAnsi="宋体" w:eastAsia="宋体" w:cs="宋体"/>
          <w:spacing w:val="-13"/>
          <w:sz w:val="24"/>
          <w:szCs w:val="24"/>
        </w:rPr>
        <w:t>仍然是可行的。</w:t>
      </w:r>
    </w:p>
    <w:p w14:paraId="0127DD1F">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bookmarkStart w:id="38" w:name="bookmark50"/>
      <w:bookmarkEnd w:id="38"/>
      <w:r>
        <w:rPr>
          <w:rFonts w:ascii="宋体" w:hAnsi="宋体" w:eastAsia="宋体" w:cs="宋体"/>
          <w:spacing w:val="5"/>
          <w:sz w:val="24"/>
          <w:szCs w:val="24"/>
        </w:rPr>
        <w:t>互助协议安排-当两个组织具有类似的硬件并同意在灾难发生时互</w:t>
      </w:r>
      <w:r>
        <w:rPr>
          <w:rFonts w:ascii="宋体" w:hAnsi="宋体" w:eastAsia="宋体" w:cs="宋体"/>
          <w:spacing w:val="-1"/>
          <w:sz w:val="24"/>
          <w:szCs w:val="24"/>
        </w:rPr>
        <w:t>相提供相关设施时可以使用这种方案。</w:t>
      </w:r>
    </w:p>
    <w:p w14:paraId="54E35691">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逐渐恢复-这种方案使用于那些在一段时间（如</w:t>
      </w:r>
      <w:r>
        <w:rPr>
          <w:rFonts w:ascii="宋体" w:hAnsi="宋体" w:eastAsia="宋体" w:cs="宋体"/>
          <w:spacing w:val="-45"/>
          <w:sz w:val="24"/>
          <w:szCs w:val="24"/>
        </w:rPr>
        <w:t xml:space="preserve"> </w:t>
      </w:r>
      <w:r>
        <w:rPr>
          <w:rFonts w:ascii="宋体" w:hAnsi="宋体" w:eastAsia="宋体" w:cs="宋体"/>
          <w:spacing w:val="1"/>
          <w:sz w:val="24"/>
          <w:szCs w:val="24"/>
        </w:rPr>
        <w:t>72小时）</w:t>
      </w:r>
      <w:r>
        <w:rPr>
          <w:rFonts w:ascii="宋体" w:hAnsi="宋体" w:eastAsia="宋体" w:cs="宋体"/>
          <w:sz w:val="24"/>
          <w:szCs w:val="24"/>
        </w:rPr>
        <w:t>内没有运</w:t>
      </w:r>
      <w:r>
        <w:rPr>
          <w:rFonts w:ascii="宋体" w:hAnsi="宋体" w:eastAsia="宋体" w:cs="宋体"/>
          <w:spacing w:val="-2"/>
          <w:sz w:val="24"/>
          <w:szCs w:val="24"/>
        </w:rPr>
        <w:t>维服务也能运作的企业。</w:t>
      </w:r>
    </w:p>
    <w:p w14:paraId="54CDF30A">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中期恢复-这种方案可以使服务在接入一个类似的运作环境后经历</w:t>
      </w:r>
      <w:r>
        <w:rPr>
          <w:rFonts w:ascii="宋体" w:hAnsi="宋体" w:eastAsia="宋体" w:cs="宋体"/>
          <w:spacing w:val="-1"/>
          <w:sz w:val="24"/>
          <w:szCs w:val="24"/>
        </w:rPr>
        <w:t>一段短暂的过渡期（24-72</w:t>
      </w:r>
      <w:r>
        <w:rPr>
          <w:rFonts w:ascii="宋体" w:hAnsi="宋体" w:eastAsia="宋体" w:cs="宋体"/>
          <w:spacing w:val="-44"/>
          <w:sz w:val="24"/>
          <w:szCs w:val="24"/>
        </w:rPr>
        <w:t xml:space="preserve"> </w:t>
      </w:r>
      <w:r>
        <w:rPr>
          <w:rFonts w:ascii="宋体" w:hAnsi="宋体" w:eastAsia="宋体" w:cs="宋体"/>
          <w:spacing w:val="-1"/>
          <w:sz w:val="24"/>
          <w:szCs w:val="24"/>
        </w:rPr>
        <w:t>小时）便可以继续正</w:t>
      </w:r>
      <w:r>
        <w:rPr>
          <w:rFonts w:ascii="宋体" w:hAnsi="宋体" w:eastAsia="宋体" w:cs="宋体"/>
          <w:spacing w:val="-2"/>
          <w:sz w:val="24"/>
          <w:szCs w:val="24"/>
        </w:rPr>
        <w:t>常运作。</w:t>
      </w:r>
    </w:p>
    <w:p w14:paraId="3BE8C409">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内部式恢复（相互支撑）-如果企业有多个办公场所或可用于生产的</w:t>
      </w:r>
      <w:r>
        <w:rPr>
          <w:rFonts w:ascii="宋体" w:hAnsi="宋体" w:eastAsia="宋体" w:cs="宋体"/>
          <w:spacing w:val="-1"/>
          <w:sz w:val="24"/>
          <w:szCs w:val="24"/>
        </w:rPr>
        <w:t>专门的测试环境，可以采用这种内部式恢复方案。</w:t>
      </w:r>
    </w:p>
    <w:p w14:paraId="5690B014">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外部式恢复-由第三方恢复组织提供商业服务，这些组织通常是为多个客户服务的</w:t>
      </w:r>
    </w:p>
    <w:p w14:paraId="168513B7">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移动式恢复-这种方案所需的基础设施一般都是用一辆拖车</w:t>
      </w:r>
      <w:r>
        <w:rPr>
          <w:rFonts w:ascii="宋体" w:hAnsi="宋体" w:eastAsia="宋体" w:cs="宋体"/>
          <w:spacing w:val="-1"/>
          <w:position w:val="3"/>
          <w:sz w:val="24"/>
          <w:szCs w:val="24"/>
        </w:rPr>
        <w:t>装载着。</w:t>
      </w:r>
    </w:p>
    <w:p w14:paraId="166258A9">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立即恢复-这种方案提供了即时的或非常快速的恢复服务，如在不超</w:t>
      </w:r>
      <w:r>
        <w:rPr>
          <w:rFonts w:ascii="宋体" w:hAnsi="宋体" w:eastAsia="宋体" w:cs="宋体"/>
          <w:spacing w:val="-5"/>
          <w:sz w:val="24"/>
          <w:szCs w:val="24"/>
        </w:rPr>
        <w:t>过</w:t>
      </w:r>
      <w:r>
        <w:rPr>
          <w:rFonts w:ascii="宋体" w:hAnsi="宋体" w:eastAsia="宋体" w:cs="宋体"/>
          <w:spacing w:val="-48"/>
          <w:sz w:val="24"/>
          <w:szCs w:val="24"/>
        </w:rPr>
        <w:t xml:space="preserve"> </w:t>
      </w:r>
      <w:r>
        <w:rPr>
          <w:rFonts w:ascii="宋体" w:hAnsi="宋体" w:eastAsia="宋体" w:cs="宋体"/>
          <w:spacing w:val="-5"/>
          <w:sz w:val="24"/>
          <w:szCs w:val="24"/>
        </w:rPr>
        <w:t>24</w:t>
      </w:r>
      <w:r>
        <w:rPr>
          <w:rFonts w:ascii="宋体" w:hAnsi="宋体" w:eastAsia="宋体" w:cs="宋体"/>
          <w:spacing w:val="-44"/>
          <w:sz w:val="24"/>
          <w:szCs w:val="24"/>
        </w:rPr>
        <w:t xml:space="preserve"> </w:t>
      </w:r>
      <w:r>
        <w:rPr>
          <w:rFonts w:ascii="宋体" w:hAnsi="宋体" w:eastAsia="宋体" w:cs="宋体"/>
          <w:spacing w:val="-5"/>
          <w:sz w:val="24"/>
          <w:szCs w:val="24"/>
        </w:rPr>
        <w:t>小时之内</w:t>
      </w:r>
    </w:p>
    <w:p w14:paraId="4507AFD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针对分析结果应形成书面性的建议内容，汇总到《业务影响分析报告》</w:t>
      </w:r>
      <w:r>
        <w:rPr>
          <w:rFonts w:ascii="宋体" w:hAnsi="宋体" w:eastAsia="宋体" w:cs="宋体"/>
          <w:spacing w:val="-16"/>
          <w:sz w:val="24"/>
          <w:szCs w:val="24"/>
        </w:rPr>
        <w:t>中。</w:t>
      </w:r>
    </w:p>
    <w:p w14:paraId="24FD98EE">
      <w:pPr>
        <w:pStyle w:val="31"/>
        <w:keepNext w:val="0"/>
        <w:keepLines w:val="0"/>
        <w:pageBreakBefore w:val="0"/>
        <w:widowControl w:val="0"/>
        <w:wordWrap/>
        <w:overflowPunct/>
        <w:bidi w:val="0"/>
      </w:pPr>
      <w:bookmarkStart w:id="39" w:name="_Toc25830"/>
      <w:r>
        <w:t>实施阶段</w:t>
      </w:r>
      <w:bookmarkEnd w:id="39"/>
    </w:p>
    <w:p w14:paraId="5E50456A">
      <w:pPr>
        <w:pStyle w:val="40"/>
        <w:keepNext w:val="0"/>
        <w:keepLines w:val="0"/>
        <w:pageBreakBefore w:val="0"/>
        <w:widowControl w:val="0"/>
        <w:wordWrap/>
        <w:overflowPunct/>
        <w:bidi w:val="0"/>
      </w:pPr>
      <w:bookmarkStart w:id="40" w:name="bookmark51"/>
      <w:bookmarkEnd w:id="40"/>
      <w:r>
        <w:t>组织和实施计划</w:t>
      </w:r>
    </w:p>
    <w:p w14:paraId="36308E13">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实施风险降低措施：故障发生直接影响服务的可用</w:t>
      </w:r>
      <w:r>
        <w:rPr>
          <w:rFonts w:ascii="宋体" w:hAnsi="宋体" w:eastAsia="宋体" w:cs="宋体"/>
          <w:spacing w:val="-3"/>
          <w:sz w:val="24"/>
          <w:szCs w:val="24"/>
        </w:rPr>
        <w:t>性，因此实施风险降</w:t>
      </w:r>
      <w:r>
        <w:rPr>
          <w:rFonts w:ascii="宋体" w:hAnsi="宋体" w:eastAsia="宋体" w:cs="宋体"/>
          <w:spacing w:val="-1"/>
          <w:sz w:val="24"/>
          <w:szCs w:val="24"/>
        </w:rPr>
        <w:t>低措施必须结合可用性管理进行。</w:t>
      </w:r>
    </w:p>
    <w:p w14:paraId="3D4C3AF0">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实施备用方案：恢复方案的实施有赖于一系列的备</w:t>
      </w:r>
      <w:r>
        <w:rPr>
          <w:rFonts w:ascii="宋体" w:hAnsi="宋体" w:eastAsia="宋体" w:cs="宋体"/>
          <w:spacing w:val="-3"/>
          <w:sz w:val="24"/>
          <w:szCs w:val="24"/>
        </w:rPr>
        <w:t>用方案，包括场所、</w:t>
      </w:r>
      <w:r>
        <w:rPr>
          <w:rFonts w:ascii="宋体" w:hAnsi="宋体" w:eastAsia="宋体" w:cs="宋体"/>
          <w:sz w:val="24"/>
          <w:szCs w:val="24"/>
        </w:rPr>
        <w:t>系统及供应商方面。对于备用方案需要进行测试、操作培训及维护以确</w:t>
      </w:r>
      <w:r>
        <w:rPr>
          <w:rFonts w:ascii="宋体" w:hAnsi="宋体" w:eastAsia="宋体" w:cs="宋体"/>
          <w:spacing w:val="-1"/>
          <w:sz w:val="24"/>
          <w:szCs w:val="24"/>
        </w:rPr>
        <w:t>保需要时可以立即启动备用方案。</w:t>
      </w:r>
    </w:p>
    <w:p w14:paraId="482530BE">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9"/>
          <w:sz w:val="24"/>
          <w:szCs w:val="24"/>
        </w:rPr>
        <w:t>制定《连续性管理计划》，保证实施人员可以直</w:t>
      </w:r>
      <w:r>
        <w:rPr>
          <w:rFonts w:ascii="宋体" w:hAnsi="宋体" w:eastAsia="宋体" w:cs="宋体"/>
          <w:spacing w:val="-10"/>
          <w:sz w:val="24"/>
          <w:szCs w:val="24"/>
        </w:rPr>
        <w:t>接按照流程文档实施恢复</w:t>
      </w:r>
      <w:r>
        <w:rPr>
          <w:rFonts w:ascii="宋体" w:hAnsi="宋体" w:eastAsia="宋体" w:cs="宋体"/>
          <w:sz w:val="24"/>
          <w:szCs w:val="24"/>
        </w:rPr>
        <w:t>方案：确保可以持续地提供有关关键系统、服务和设施的必要信息或在</w:t>
      </w:r>
      <w:r>
        <w:rPr>
          <w:rFonts w:ascii="宋体" w:hAnsi="宋体" w:eastAsia="宋体" w:cs="宋体"/>
          <w:spacing w:val="-1"/>
          <w:sz w:val="24"/>
          <w:szCs w:val="24"/>
        </w:rPr>
        <w:t>可接受的时段内能够恢复此类信息。</w:t>
      </w:r>
    </w:p>
    <w:p w14:paraId="27219066">
      <w:pPr>
        <w:pStyle w:val="40"/>
        <w:keepNext w:val="0"/>
        <w:keepLines w:val="0"/>
        <w:pageBreakBefore w:val="0"/>
        <w:widowControl w:val="0"/>
        <w:wordWrap/>
        <w:overflowPunct/>
        <w:bidi w:val="0"/>
      </w:pPr>
      <w:bookmarkStart w:id="41" w:name="bookmark52"/>
      <w:bookmarkEnd w:id="41"/>
      <w:r>
        <w:t>连续性</w:t>
      </w:r>
      <w:r>
        <w:rPr>
          <w:rFonts w:hint="eastAsia"/>
          <w:lang w:val="en-US" w:eastAsia="zh-CN"/>
        </w:rPr>
        <w:t>管理</w:t>
      </w:r>
      <w:r>
        <w:t>计划测试</w:t>
      </w:r>
    </w:p>
    <w:p w14:paraId="287FA31C">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2"/>
          <w:sz w:val="24"/>
          <w:szCs w:val="24"/>
        </w:rPr>
        <w:t>运维</w:t>
      </w:r>
      <w:r>
        <w:rPr>
          <w:rFonts w:hint="eastAsia" w:ascii="宋体" w:hAnsi="宋体" w:eastAsia="宋体" w:cs="宋体"/>
          <w:spacing w:val="-2"/>
          <w:sz w:val="24"/>
          <w:szCs w:val="24"/>
          <w:lang w:val="en-US" w:eastAsia="zh-CN"/>
        </w:rPr>
        <w:t>项目</w:t>
      </w:r>
      <w:r>
        <w:rPr>
          <w:rFonts w:ascii="宋体" w:hAnsi="宋体" w:eastAsia="宋体" w:cs="宋体"/>
          <w:spacing w:val="-2"/>
          <w:sz w:val="24"/>
          <w:szCs w:val="24"/>
        </w:rPr>
        <w:t>经理安排组织连续性计划范围内的人员编制测试</w:t>
      </w:r>
      <w:r>
        <w:rPr>
          <w:rFonts w:ascii="宋体" w:hAnsi="宋体" w:eastAsia="宋体" w:cs="宋体"/>
          <w:spacing w:val="-3"/>
          <w:sz w:val="24"/>
          <w:szCs w:val="24"/>
        </w:rPr>
        <w:t>计划并进行</w:t>
      </w:r>
      <w:r>
        <w:rPr>
          <w:rFonts w:ascii="宋体" w:hAnsi="宋体" w:eastAsia="宋体" w:cs="宋体"/>
          <w:spacing w:val="-4"/>
          <w:sz w:val="24"/>
          <w:szCs w:val="24"/>
        </w:rPr>
        <w:t>测试，测试完毕结果归并到《连续性管理计划测试报告》。</w:t>
      </w:r>
    </w:p>
    <w:p w14:paraId="536D4EA8">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根据服务需要，</w:t>
      </w:r>
      <w:r>
        <w:rPr>
          <w:rFonts w:hint="eastAsia" w:ascii="宋体" w:hAnsi="宋体" w:eastAsia="宋体" w:cs="宋体"/>
          <w:spacing w:val="-2"/>
          <w:sz w:val="24"/>
          <w:szCs w:val="24"/>
          <w:lang w:eastAsia="zh-CN"/>
        </w:rPr>
        <w:t>平台运维组</w:t>
      </w:r>
      <w:r>
        <w:rPr>
          <w:rFonts w:ascii="宋体" w:hAnsi="宋体" w:eastAsia="宋体" w:cs="宋体"/>
          <w:spacing w:val="-2"/>
          <w:sz w:val="24"/>
          <w:szCs w:val="24"/>
        </w:rPr>
        <w:t>经理会同公司领导对连续性管理计划</w:t>
      </w:r>
      <w:r>
        <w:rPr>
          <w:rFonts w:ascii="宋体" w:hAnsi="宋体" w:eastAsia="宋体" w:cs="宋体"/>
          <w:spacing w:val="-3"/>
          <w:sz w:val="24"/>
          <w:szCs w:val="24"/>
        </w:rPr>
        <w:t>测试结</w:t>
      </w:r>
      <w:r>
        <w:rPr>
          <w:rFonts w:ascii="宋体" w:hAnsi="宋体" w:eastAsia="宋体" w:cs="宋体"/>
          <w:spacing w:val="-6"/>
          <w:sz w:val="24"/>
          <w:szCs w:val="24"/>
        </w:rPr>
        <w:t>果进行评审，形成《连续性管理计划评审报告》，记录测试存在的问</w:t>
      </w:r>
      <w:r>
        <w:rPr>
          <w:rFonts w:ascii="宋体" w:hAnsi="宋体" w:eastAsia="宋体" w:cs="宋体"/>
          <w:spacing w:val="-7"/>
          <w:sz w:val="24"/>
          <w:szCs w:val="24"/>
        </w:rPr>
        <w:t>题，</w:t>
      </w:r>
      <w:r>
        <w:rPr>
          <w:rFonts w:ascii="宋体" w:hAnsi="宋体" w:eastAsia="宋体" w:cs="宋体"/>
          <w:spacing w:val="-6"/>
          <w:sz w:val="24"/>
          <w:szCs w:val="24"/>
        </w:rPr>
        <w:t>必要时修改《连续性管理计划》</w:t>
      </w:r>
    </w:p>
    <w:p w14:paraId="5EA1436B">
      <w:pPr>
        <w:pStyle w:val="40"/>
        <w:keepNext w:val="0"/>
        <w:keepLines w:val="0"/>
        <w:pageBreakBefore w:val="0"/>
        <w:widowControl w:val="0"/>
        <w:wordWrap/>
        <w:overflowPunct/>
        <w:bidi w:val="0"/>
      </w:pPr>
      <w:r>
        <w:t>沟通和培训</w:t>
      </w:r>
    </w:p>
    <w:p w14:paraId="77A1D09E">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hint="eastAsia" w:ascii="宋体" w:hAnsi="宋体" w:eastAsia="宋体" w:cs="宋体"/>
          <w:spacing w:val="-4"/>
          <w:sz w:val="24"/>
          <w:szCs w:val="24"/>
          <w:lang w:val="en-US" w:eastAsia="zh-CN"/>
        </w:rPr>
        <w:t>运维</w:t>
      </w:r>
      <w:r>
        <w:rPr>
          <w:rFonts w:ascii="宋体" w:hAnsi="宋体" w:eastAsia="宋体" w:cs="宋体"/>
          <w:spacing w:val="-4"/>
          <w:sz w:val="24"/>
          <w:szCs w:val="24"/>
        </w:rPr>
        <w:t>项目经理组织有关人员进行沟通或培训，确保有关人员知道自己的职责和任务。</w:t>
      </w:r>
    </w:p>
    <w:p w14:paraId="16BE7265">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必要时</w:t>
      </w:r>
      <w:r>
        <w:rPr>
          <w:rFonts w:hint="eastAsia" w:ascii="宋体" w:hAnsi="宋体" w:cs="宋体"/>
          <w:spacing w:val="-4"/>
          <w:sz w:val="24"/>
          <w:szCs w:val="24"/>
          <w:lang w:val="en-US" w:eastAsia="zh-CN"/>
        </w:rPr>
        <w:t>运维</w:t>
      </w:r>
      <w:r>
        <w:rPr>
          <w:rFonts w:ascii="宋体" w:hAnsi="宋体" w:eastAsia="宋体" w:cs="宋体"/>
          <w:spacing w:val="-4"/>
          <w:sz w:val="24"/>
          <w:szCs w:val="24"/>
        </w:rPr>
        <w:t>项目经理对培训的效果进行评价。</w:t>
      </w:r>
    </w:p>
    <w:p w14:paraId="34A4E6BC">
      <w:pPr>
        <w:pStyle w:val="40"/>
        <w:keepNext w:val="0"/>
        <w:keepLines w:val="0"/>
        <w:pageBreakBefore w:val="0"/>
        <w:widowControl w:val="0"/>
        <w:wordWrap/>
        <w:overflowPunct/>
        <w:bidi w:val="0"/>
      </w:pPr>
      <w:r>
        <w:t>连续性计划维护</w:t>
      </w:r>
    </w:p>
    <w:p w14:paraId="3FFE692B">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w:t>
      </w:r>
      <w:r>
        <w:rPr>
          <w:rFonts w:hint="eastAsia" w:ascii="宋体" w:hAnsi="宋体" w:cs="宋体"/>
          <w:spacing w:val="-4"/>
          <w:sz w:val="24"/>
          <w:szCs w:val="24"/>
          <w:lang w:eastAsia="zh-CN"/>
        </w:rPr>
        <w:t>运维服务人员</w:t>
      </w:r>
      <w:r>
        <w:rPr>
          <w:rFonts w:ascii="宋体" w:hAnsi="宋体" w:eastAsia="宋体" w:cs="宋体"/>
          <w:spacing w:val="-4"/>
          <w:sz w:val="24"/>
          <w:szCs w:val="24"/>
        </w:rPr>
        <w:t>进行连续性方面的意识培养，使他们将维护连续性作为常规的工</w:t>
      </w:r>
      <w:r>
        <w:rPr>
          <w:rFonts w:hint="eastAsia" w:ascii="宋体" w:hAnsi="宋体" w:cs="宋体"/>
          <w:spacing w:val="-4"/>
          <w:sz w:val="24"/>
          <w:szCs w:val="24"/>
          <w:lang w:val="en-US" w:eastAsia="zh-CN"/>
        </w:rPr>
        <w:t>作</w:t>
      </w:r>
      <w:r>
        <w:rPr>
          <w:rFonts w:ascii="宋体" w:hAnsi="宋体" w:eastAsia="宋体" w:cs="宋体"/>
          <w:spacing w:val="-4"/>
          <w:sz w:val="24"/>
          <w:szCs w:val="24"/>
        </w:rPr>
        <w:t>。</w:t>
      </w:r>
    </w:p>
    <w:p w14:paraId="73DA9E23">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对连续性流程进行定期评审以确保经常性的更新。</w:t>
      </w:r>
    </w:p>
    <w:p w14:paraId="128104E1">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每年至少应进行必要的连续性计划测试。</w:t>
      </w:r>
    </w:p>
    <w:p w14:paraId="3476039E">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评审和测试以后需要进行日常的变更管理，因此也需要连续性得到及时更新。</w:t>
      </w:r>
    </w:p>
    <w:p w14:paraId="4618B3B3">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进行包括维护人员和销售人员的培训，以保证在必要的时候他们有能力完成业务恢复工作</w:t>
      </w:r>
    </w:p>
    <w:p w14:paraId="1822A2EC">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保证连续性生命周期的</w:t>
      </w:r>
      <w:r>
        <w:rPr>
          <w:rFonts w:hint="eastAsia" w:ascii="宋体" w:hAnsi="宋体" w:eastAsia="宋体" w:cs="宋体"/>
          <w:spacing w:val="-4"/>
          <w:sz w:val="24"/>
          <w:szCs w:val="24"/>
          <w:lang w:val="en-US" w:eastAsia="zh-CN"/>
        </w:rPr>
        <w:t>制度应</w:t>
      </w:r>
      <w:r>
        <w:rPr>
          <w:rFonts w:ascii="宋体" w:hAnsi="宋体" w:eastAsia="宋体" w:cs="宋体"/>
          <w:spacing w:val="-4"/>
          <w:sz w:val="24"/>
          <w:szCs w:val="24"/>
        </w:rPr>
        <w:t>得到</w:t>
      </w:r>
      <w:r>
        <w:rPr>
          <w:rFonts w:hint="eastAsia" w:ascii="宋体" w:hAnsi="宋体" w:eastAsia="宋体" w:cs="宋体"/>
          <w:spacing w:val="-4"/>
          <w:sz w:val="24"/>
          <w:szCs w:val="24"/>
          <w:lang w:val="en-US" w:eastAsia="zh-CN"/>
        </w:rPr>
        <w:t>平台运维组经理和公司搞成</w:t>
      </w:r>
      <w:r>
        <w:rPr>
          <w:rFonts w:ascii="宋体" w:hAnsi="宋体" w:eastAsia="宋体" w:cs="宋体"/>
          <w:spacing w:val="-4"/>
          <w:sz w:val="24"/>
          <w:szCs w:val="24"/>
        </w:rPr>
        <w:t>领导的确认，以保证连续性流程的运营流程得到顺利的执行。</w:t>
      </w:r>
    </w:p>
    <w:p w14:paraId="1890F60C">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4"/>
          <w:sz w:val="24"/>
          <w:szCs w:val="24"/>
          <w:lang w:val="en-US" w:eastAsia="zh-CN"/>
        </w:rPr>
      </w:pPr>
      <w:r>
        <w:rPr>
          <w:rFonts w:ascii="宋体" w:hAnsi="宋体" w:eastAsia="宋体" w:cs="宋体"/>
          <w:spacing w:val="-4"/>
          <w:sz w:val="24"/>
          <w:szCs w:val="24"/>
        </w:rPr>
        <w:t>公司定期对连续性计划所需得到人员、技术及基础设施进行检查、评价，以确保连续性计划的有效性。</w:t>
      </w:r>
    </w:p>
    <w:p w14:paraId="4770B7E9">
      <w:pPr>
        <w:pStyle w:val="30"/>
        <w:keepNext w:val="0"/>
        <w:keepLines w:val="0"/>
        <w:pageBreakBefore w:val="0"/>
        <w:widowControl w:val="0"/>
        <w:wordWrap/>
        <w:overflowPunct/>
        <w:bidi w:val="0"/>
      </w:pPr>
      <w:bookmarkStart w:id="42" w:name="bookmark30"/>
      <w:bookmarkEnd w:id="42"/>
      <w:bookmarkStart w:id="43" w:name="bookmark31"/>
      <w:bookmarkEnd w:id="43"/>
      <w:bookmarkStart w:id="44" w:name="bookmark29"/>
      <w:bookmarkEnd w:id="44"/>
      <w:bookmarkStart w:id="45" w:name="bookmark28"/>
      <w:bookmarkEnd w:id="45"/>
      <w:bookmarkStart w:id="46" w:name="_Toc7590"/>
      <w:r>
        <w:t>与其他流程的关系</w:t>
      </w:r>
      <w:bookmarkEnd w:id="46"/>
    </w:p>
    <w:p w14:paraId="5D92019B">
      <w:pPr>
        <w:pStyle w:val="31"/>
        <w:keepNext w:val="0"/>
        <w:keepLines w:val="0"/>
        <w:pageBreakBefore w:val="0"/>
        <w:widowControl w:val="0"/>
        <w:wordWrap/>
        <w:overflowPunct/>
        <w:bidi w:val="0"/>
      </w:pPr>
      <w:bookmarkStart w:id="47" w:name="_Toc30631"/>
      <w:r>
        <w:t>与事件管理流程的关系</w:t>
      </w:r>
      <w:bookmarkEnd w:id="47"/>
    </w:p>
    <w:p w14:paraId="001E5EBD">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中断的发生，均应在事件管理流程中得到记录。</w:t>
      </w:r>
      <w:bookmarkStart w:id="48" w:name="bookmark32"/>
      <w:bookmarkEnd w:id="48"/>
      <w:bookmarkStart w:id="49" w:name="bookmark33"/>
      <w:bookmarkEnd w:id="49"/>
    </w:p>
    <w:p w14:paraId="5D59361E">
      <w:pPr>
        <w:pStyle w:val="31"/>
        <w:keepNext w:val="0"/>
        <w:keepLines w:val="0"/>
        <w:pageBreakBefore w:val="0"/>
        <w:widowControl w:val="0"/>
        <w:wordWrap/>
        <w:overflowPunct/>
        <w:bidi w:val="0"/>
      </w:pPr>
      <w:bookmarkStart w:id="50" w:name="_Toc27797"/>
      <w:r>
        <w:t>与问题管理流程的关系</w:t>
      </w:r>
      <w:bookmarkEnd w:id="50"/>
    </w:p>
    <w:p w14:paraId="70AC42A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2"/>
          <w:sz w:val="24"/>
          <w:szCs w:val="24"/>
        </w:rPr>
      </w:pPr>
      <w:r>
        <w:rPr>
          <w:rFonts w:ascii="宋体" w:hAnsi="宋体" w:eastAsia="宋体" w:cs="宋体"/>
          <w:spacing w:val="-3"/>
          <w:sz w:val="24"/>
          <w:szCs w:val="24"/>
        </w:rPr>
        <w:t>系统相关隐患被识别，需要根源调查、处置，以提高</w:t>
      </w:r>
      <w:r>
        <w:rPr>
          <w:rFonts w:ascii="宋体" w:hAnsi="宋体" w:eastAsia="宋体" w:cs="宋体"/>
          <w:spacing w:val="-4"/>
          <w:sz w:val="24"/>
          <w:szCs w:val="24"/>
        </w:rPr>
        <w:t>可用性，可通过问题管</w:t>
      </w:r>
      <w:r>
        <w:rPr>
          <w:rFonts w:ascii="宋体" w:hAnsi="宋体" w:eastAsia="宋体" w:cs="宋体"/>
          <w:spacing w:val="-2"/>
          <w:sz w:val="24"/>
          <w:szCs w:val="24"/>
        </w:rPr>
        <w:t>理流程进行管理。</w:t>
      </w:r>
    </w:p>
    <w:p w14:paraId="02CA170C">
      <w:pPr>
        <w:pStyle w:val="31"/>
        <w:keepNext w:val="0"/>
        <w:keepLines w:val="0"/>
        <w:pageBreakBefore w:val="0"/>
        <w:widowControl w:val="0"/>
        <w:wordWrap/>
        <w:overflowPunct/>
        <w:bidi w:val="0"/>
      </w:pPr>
      <w:bookmarkStart w:id="51" w:name="bookmark35"/>
      <w:bookmarkEnd w:id="51"/>
      <w:bookmarkStart w:id="52" w:name="bookmark34"/>
      <w:bookmarkEnd w:id="52"/>
      <w:bookmarkStart w:id="53" w:name="_Toc5613"/>
      <w:r>
        <w:t>与变更、发布管理流程的关系</w:t>
      </w:r>
      <w:bookmarkEnd w:id="53"/>
    </w:p>
    <w:p w14:paraId="5BC0951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为提高系统可用性</w:t>
      </w:r>
      <w:r>
        <w:rPr>
          <w:rFonts w:hint="eastAsia" w:ascii="宋体" w:hAnsi="宋体" w:eastAsia="宋体" w:cs="宋体"/>
          <w:spacing w:val="-3"/>
          <w:sz w:val="24"/>
          <w:szCs w:val="24"/>
          <w:lang w:val="en-US" w:eastAsia="zh-CN"/>
        </w:rPr>
        <w:t>和连续性</w:t>
      </w:r>
      <w:r>
        <w:rPr>
          <w:rFonts w:ascii="宋体" w:hAnsi="宋体" w:eastAsia="宋体" w:cs="宋体"/>
          <w:spacing w:val="-3"/>
          <w:sz w:val="24"/>
          <w:szCs w:val="24"/>
        </w:rPr>
        <w:t>，产生的系统变更，应通过变更、发布管理流程进管控。</w:t>
      </w:r>
    </w:p>
    <w:p w14:paraId="595210B4">
      <w:pPr>
        <w:pStyle w:val="31"/>
        <w:keepNext w:val="0"/>
        <w:keepLines w:val="0"/>
        <w:pageBreakBefore w:val="0"/>
        <w:widowControl w:val="0"/>
        <w:wordWrap/>
        <w:overflowPunct/>
        <w:bidi w:val="0"/>
      </w:pPr>
      <w:bookmarkStart w:id="54" w:name="bookmark37"/>
      <w:bookmarkEnd w:id="54"/>
      <w:bookmarkStart w:id="55" w:name="bookmark36"/>
      <w:bookmarkEnd w:id="55"/>
      <w:bookmarkStart w:id="56" w:name="_Toc3759"/>
      <w:r>
        <w:t>与配置管理流程的关系</w:t>
      </w:r>
      <w:bookmarkEnd w:id="56"/>
    </w:p>
    <w:p w14:paraId="28AC2C5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配置管理数据库为可用性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系统分析提供数据基础。因可用性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发生的配置变更，也应对相关的配置项进行更新。</w:t>
      </w:r>
    </w:p>
    <w:p w14:paraId="567AE0F6">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可用性需求满足测试或评审</w:t>
      </w:r>
    </w:p>
    <w:p w14:paraId="169C1AC2">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可用性需求满足监控</w:t>
      </w:r>
    </w:p>
    <w:p w14:paraId="08BFB6DC">
      <w:pPr>
        <w:pStyle w:val="29"/>
        <w:keepNext w:val="0"/>
        <w:keepLines w:val="0"/>
        <w:pageBreakBefore w:val="0"/>
        <w:widowControl w:val="0"/>
        <w:wordWrap/>
        <w:overflowPunct/>
        <w:bidi w:val="0"/>
        <w:rPr>
          <w:rFonts w:hint="eastAsia"/>
          <w:lang w:val="en-US" w:eastAsia="zh-CN"/>
        </w:rPr>
      </w:pPr>
      <w:r>
        <w:rPr>
          <w:rFonts w:hint="eastAsia"/>
          <w:lang w:val="en-US" w:eastAsia="zh-CN"/>
        </w:rPr>
        <w:t>可用性报告</w:t>
      </w:r>
    </w:p>
    <w:p w14:paraId="3B1CA60B">
      <w:pPr>
        <w:pStyle w:val="29"/>
        <w:keepNext w:val="0"/>
        <w:keepLines w:val="0"/>
        <w:pageBreakBefore w:val="0"/>
        <w:widowControl w:val="0"/>
        <w:wordWrap/>
        <w:overflowPunct/>
        <w:bidi w:val="0"/>
        <w:rPr>
          <w:rFonts w:hint="eastAsia"/>
          <w:lang w:val="en-US" w:eastAsia="zh-CN"/>
        </w:rPr>
      </w:pPr>
      <w:r>
        <w:rPr>
          <w:rFonts w:hint="eastAsia"/>
          <w:lang w:val="en-US" w:eastAsia="zh-CN"/>
        </w:rPr>
        <w:t>定义持续性实施范围</w:t>
      </w:r>
    </w:p>
    <w:p w14:paraId="01520112">
      <w:pPr>
        <w:pStyle w:val="29"/>
        <w:keepNext w:val="0"/>
        <w:keepLines w:val="0"/>
        <w:pageBreakBefore w:val="0"/>
        <w:widowControl w:val="0"/>
        <w:wordWrap/>
        <w:overflowPunct/>
        <w:bidi w:val="0"/>
        <w:rPr>
          <w:rFonts w:hint="eastAsia"/>
          <w:lang w:val="en-US" w:eastAsia="zh-CN"/>
        </w:rPr>
      </w:pPr>
      <w:r>
        <w:rPr>
          <w:rFonts w:hint="eastAsia"/>
          <w:lang w:val="en-US" w:eastAsia="zh-CN"/>
        </w:rPr>
        <w:t>业务影响分析</w:t>
      </w:r>
    </w:p>
    <w:p w14:paraId="0CDB7B13">
      <w:pPr>
        <w:pStyle w:val="29"/>
        <w:keepNext w:val="0"/>
        <w:keepLines w:val="0"/>
        <w:pageBreakBefore w:val="0"/>
        <w:widowControl w:val="0"/>
        <w:wordWrap/>
        <w:overflowPunct/>
        <w:bidi w:val="0"/>
        <w:rPr>
          <w:rFonts w:hint="eastAsia"/>
          <w:lang w:val="en-US" w:eastAsia="zh-CN"/>
        </w:rPr>
      </w:pPr>
      <w:r>
        <w:rPr>
          <w:rFonts w:hint="eastAsia"/>
          <w:lang w:val="en-US" w:eastAsia="zh-CN"/>
        </w:rPr>
        <w:t>防止业务中断</w:t>
      </w:r>
    </w:p>
    <w:p w14:paraId="0D76217C">
      <w:pPr>
        <w:pStyle w:val="29"/>
        <w:keepNext w:val="0"/>
        <w:keepLines w:val="0"/>
        <w:pageBreakBefore w:val="0"/>
        <w:widowControl w:val="0"/>
        <w:wordWrap/>
        <w:overflowPunct/>
        <w:bidi w:val="0"/>
        <w:rPr>
          <w:rFonts w:hint="eastAsia"/>
          <w:lang w:val="en-US" w:eastAsia="zh-CN"/>
        </w:rPr>
      </w:pPr>
      <w:r>
        <w:rPr>
          <w:rFonts w:hint="eastAsia"/>
          <w:lang w:val="en-US" w:eastAsia="zh-CN"/>
        </w:rPr>
        <w:t>潜在业务中断分析</w:t>
      </w:r>
    </w:p>
    <w:p w14:paraId="581F2AB5">
      <w:pPr>
        <w:pStyle w:val="29"/>
        <w:keepNext w:val="0"/>
        <w:keepLines w:val="0"/>
        <w:pageBreakBefore w:val="0"/>
        <w:widowControl w:val="0"/>
        <w:wordWrap/>
        <w:overflowPunct/>
        <w:bidi w:val="0"/>
        <w:rPr>
          <w:rFonts w:hint="eastAsia"/>
          <w:lang w:val="en-US" w:eastAsia="zh-CN"/>
        </w:rPr>
      </w:pPr>
      <w:r>
        <w:rPr>
          <w:rFonts w:hint="eastAsia"/>
          <w:lang w:val="en-US" w:eastAsia="zh-CN"/>
        </w:rPr>
        <w:t>业务连续性测试</w:t>
      </w:r>
    </w:p>
    <w:p w14:paraId="68F8D61C">
      <w:pPr>
        <w:pStyle w:val="29"/>
        <w:keepNext w:val="0"/>
        <w:keepLines w:val="0"/>
        <w:pageBreakBefore w:val="0"/>
        <w:widowControl w:val="0"/>
        <w:wordWrap/>
        <w:overflowPunct/>
        <w:bidi w:val="0"/>
        <w:rPr>
          <w:rFonts w:hint="eastAsia"/>
          <w:lang w:val="en-US" w:eastAsia="zh-CN"/>
        </w:rPr>
      </w:pPr>
      <w:r>
        <w:rPr>
          <w:rFonts w:hint="eastAsia"/>
          <w:lang w:val="en-US" w:eastAsia="zh-CN"/>
        </w:rPr>
        <w:t>业务恢复计划</w:t>
      </w:r>
    </w:p>
    <w:p w14:paraId="64B240AF">
      <w:pPr>
        <w:pStyle w:val="29"/>
        <w:keepNext w:val="0"/>
        <w:keepLines w:val="0"/>
        <w:pageBreakBefore w:val="0"/>
        <w:widowControl w:val="0"/>
        <w:wordWrap/>
        <w:overflowPunct/>
        <w:bidi w:val="0"/>
        <w:rPr>
          <w:rFonts w:hint="eastAsia"/>
          <w:lang w:val="en-US" w:eastAsia="zh-CN"/>
        </w:rPr>
      </w:pPr>
      <w:r>
        <w:rPr>
          <w:rFonts w:hint="eastAsia"/>
          <w:lang w:val="en-US" w:eastAsia="zh-CN"/>
        </w:rPr>
        <w:t>连续性计划更新</w:t>
      </w:r>
    </w:p>
    <w:p w14:paraId="2A6051C9">
      <w:pPr>
        <w:pStyle w:val="30"/>
        <w:keepNext w:val="0"/>
        <w:keepLines w:val="0"/>
        <w:pageBreakBefore w:val="0"/>
        <w:widowControl w:val="0"/>
        <w:wordWrap/>
        <w:overflowPunct/>
        <w:bidi w:val="0"/>
      </w:pPr>
      <w:bookmarkStart w:id="57" w:name="_Toc24184"/>
      <w:bookmarkStart w:id="58" w:name="_Toc6088"/>
      <w:r>
        <w:t>考核指标</w:t>
      </w:r>
      <w:bookmarkEnd w:id="57"/>
      <w:bookmarkEnd w:id="5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889"/>
        <w:gridCol w:w="1047"/>
        <w:gridCol w:w="1583"/>
      </w:tblGrid>
      <w:tr w14:paraId="632F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18B9678E">
            <w:pPr>
              <w:pStyle w:val="29"/>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指标度量性</w:t>
            </w:r>
          </w:p>
        </w:tc>
        <w:tc>
          <w:tcPr>
            <w:tcW w:w="2889" w:type="dxa"/>
          </w:tcPr>
          <w:p w14:paraId="33FFB281">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1047" w:type="dxa"/>
          </w:tcPr>
          <w:p w14:paraId="452CC067">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583" w:type="dxa"/>
          </w:tcPr>
          <w:p w14:paraId="5E010ED9">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59C3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43B0B746">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rPr>
              <w:t>系统可用率</w:t>
            </w:r>
          </w:p>
        </w:tc>
        <w:tc>
          <w:tcPr>
            <w:tcW w:w="2889" w:type="dxa"/>
          </w:tcPr>
          <w:p w14:paraId="50BB5A1C">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rPr>
              <w:t>系统可用的数量/系统总数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1047" w:type="dxa"/>
          </w:tcPr>
          <w:p w14:paraId="55AF72C1">
            <w:pPr>
              <w:pStyle w:val="29"/>
              <w:keepNext w:val="0"/>
              <w:keepLines w:val="0"/>
              <w:pageBreakBefore w:val="0"/>
              <w:widowControl w:val="0"/>
              <w:wordWrap/>
              <w:overflowPunct/>
              <w:bidi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583" w:type="dxa"/>
          </w:tcPr>
          <w:p w14:paraId="448DAB54">
            <w:pPr>
              <w:pStyle w:val="29"/>
              <w:keepNext w:val="0"/>
              <w:keepLines w:val="0"/>
              <w:pageBreakBefore w:val="0"/>
              <w:widowControl w:val="0"/>
              <w:wordWrap/>
              <w:overflowPunct/>
              <w:bidi w:val="0"/>
              <w:rPr>
                <w:rFonts w:hint="eastAsia"/>
                <w:vertAlign w:val="baseline"/>
                <w:lang w:val="en-US" w:eastAsia="zh-CN"/>
              </w:rPr>
            </w:pPr>
            <w:r>
              <w:rPr>
                <w:rFonts w:hint="eastAsia" w:ascii="宋体" w:hAnsi="宋体" w:eastAsia="宋体" w:cs="宋体"/>
                <w:sz w:val="18"/>
                <w:szCs w:val="18"/>
              </w:rPr>
              <w:t>≥98%</w:t>
            </w:r>
          </w:p>
        </w:tc>
      </w:tr>
    </w:tbl>
    <w:p w14:paraId="589A67C0">
      <w:pPr>
        <w:pStyle w:val="28"/>
        <w:keepNext w:val="0"/>
        <w:keepLines w:val="0"/>
        <w:pageBreakBefore w:val="0"/>
        <w:widowControl w:val="0"/>
        <w:wordWrap/>
        <w:overflowPunct/>
        <w:bidi w:val="0"/>
        <w:rPr>
          <w:rStyle w:val="38"/>
          <w:rFonts w:hint="default" w:eastAsia="宋体"/>
          <w:lang w:val="en-US" w:eastAsia="zh-CN"/>
        </w:rPr>
      </w:pPr>
      <w:bookmarkStart w:id="59" w:name="bookmark3"/>
      <w:bookmarkEnd w:id="59"/>
      <w:bookmarkStart w:id="60" w:name="_Toc17424"/>
      <w:bookmarkStart w:id="61" w:name="_Toc14242"/>
      <w:r>
        <w:rPr>
          <w:rStyle w:val="38"/>
          <w:rFonts w:hint="eastAsia" w:eastAsia="宋体"/>
          <w:lang w:val="en-US" w:eastAsia="zh-CN"/>
        </w:rPr>
        <w:t>附则</w:t>
      </w:r>
      <w:bookmarkEnd w:id="60"/>
      <w:bookmarkEnd w:id="61"/>
    </w:p>
    <w:p w14:paraId="43EE7F19">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3CC6AB36">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576AF41">
      <w:pPr>
        <w:pStyle w:val="28"/>
        <w:keepNext w:val="0"/>
        <w:keepLines w:val="0"/>
        <w:pageBreakBefore w:val="0"/>
        <w:widowControl w:val="0"/>
        <w:wordWrap/>
        <w:overflowPunct/>
        <w:bidi w:val="0"/>
        <w:rPr>
          <w:rFonts w:hint="default"/>
          <w:lang w:val="en-US" w:eastAsia="zh-CN"/>
        </w:rPr>
      </w:pPr>
      <w:bookmarkStart w:id="62" w:name="bookmark14"/>
      <w:bookmarkEnd w:id="62"/>
      <w:bookmarkStart w:id="63" w:name="_Toc11907"/>
      <w:r>
        <w:rPr>
          <w:rFonts w:hint="eastAsia"/>
          <w:lang w:val="en-US" w:eastAsia="zh-CN"/>
        </w:rPr>
        <w:t>附件</w:t>
      </w:r>
      <w:bookmarkEnd w:id="63"/>
    </w:p>
    <w:p w14:paraId="0389F1A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val="en-US" w:eastAsia="zh-CN"/>
        </w:rPr>
        <w:t>服务可用性和业务</w:t>
      </w:r>
      <w:r>
        <w:rPr>
          <w:rFonts w:ascii="宋体" w:hAnsi="宋体" w:eastAsia="宋体" w:cs="宋体"/>
          <w:spacing w:val="-3"/>
          <w:sz w:val="24"/>
          <w:szCs w:val="24"/>
        </w:rPr>
        <w:t>连续性管理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4A26CE8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《信息安全管理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76F7677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rPr>
        <w:t>运维服务能力管理制度</w:t>
      </w:r>
      <w:r>
        <w:rPr>
          <w:rFonts w:ascii="宋体" w:hAnsi="宋体" w:eastAsia="宋体" w:cs="宋体"/>
          <w:spacing w:val="-3"/>
          <w:sz w:val="24"/>
          <w:szCs w:val="24"/>
        </w:rPr>
        <w:t>》</w:t>
      </w:r>
    </w:p>
    <w:p w14:paraId="5770C02D">
      <w:pPr>
        <w:pStyle w:val="28"/>
        <w:keepNext w:val="0"/>
        <w:keepLines w:val="0"/>
        <w:pageBreakBefore w:val="0"/>
        <w:widowControl w:val="0"/>
        <w:wordWrap/>
        <w:overflowPunct/>
        <w:bidi w:val="0"/>
        <w:rPr>
          <w:rFonts w:hint="eastAsia"/>
          <w:lang w:val="en-US" w:eastAsia="zh-CN"/>
        </w:rPr>
      </w:pPr>
      <w:bookmarkStart w:id="64" w:name="_Toc28408"/>
      <w:r>
        <w:rPr>
          <w:rFonts w:hint="eastAsia"/>
          <w:lang w:val="en-US" w:eastAsia="zh-CN"/>
        </w:rPr>
        <w:t>记录</w:t>
      </w:r>
      <w:bookmarkEnd w:id="64"/>
    </w:p>
    <w:p w14:paraId="6F9AAEC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《可用性管理计划》</w:t>
      </w:r>
    </w:p>
    <w:p w14:paraId="0C31085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《连续性管理计划》</w:t>
      </w:r>
    </w:p>
    <w:p w14:paraId="7349457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《可用性管理分析报告》</w:t>
      </w:r>
    </w:p>
    <w:p w14:paraId="7D0945C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w:t>
      </w:r>
      <w:r>
        <w:rPr>
          <w:rFonts w:ascii="宋体" w:hAnsi="宋体" w:eastAsia="宋体" w:cs="宋体"/>
          <w:spacing w:val="-6"/>
          <w:sz w:val="24"/>
          <w:szCs w:val="24"/>
        </w:rPr>
        <w:t>连续性管理计划评审报告</w:t>
      </w:r>
      <w:r>
        <w:rPr>
          <w:rFonts w:hint="eastAsia" w:ascii="宋体" w:hAnsi="宋体" w:eastAsia="宋体" w:cs="宋体"/>
          <w:spacing w:val="-3"/>
          <w:sz w:val="24"/>
          <w:szCs w:val="24"/>
          <w:lang w:val="en-US" w:eastAsia="zh-CN"/>
        </w:rPr>
        <w:t>》</w:t>
      </w:r>
    </w:p>
    <w:p w14:paraId="309965FD">
      <w:pPr>
        <w:pStyle w:val="29"/>
        <w:keepNext w:val="0"/>
        <w:keepLines w:val="0"/>
        <w:pageBreakBefore w:val="0"/>
        <w:widowControl w:val="0"/>
        <w:wordWrap/>
        <w:overflowPunct/>
        <w:bidi w:val="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3FA8F">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76793"/>
    <w:multiLevelType w:val="singleLevel"/>
    <w:tmpl w:val="8C776793"/>
    <w:lvl w:ilvl="0" w:tentative="0">
      <w:start w:val="1"/>
      <w:numFmt w:val="decimal"/>
      <w:lvlText w:val="(%1)"/>
      <w:lvlJc w:val="left"/>
      <w:pPr>
        <w:tabs>
          <w:tab w:val="left" w:pos="420"/>
        </w:tabs>
        <w:ind w:left="845" w:hanging="425"/>
      </w:pPr>
      <w:rPr>
        <w:rFonts w:hint="default"/>
      </w:rPr>
    </w:lvl>
  </w:abstractNum>
  <w:abstractNum w:abstractNumId="1">
    <w:nsid w:val="8CBA3B6C"/>
    <w:multiLevelType w:val="singleLevel"/>
    <w:tmpl w:val="8CBA3B6C"/>
    <w:lvl w:ilvl="0" w:tentative="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518F2E"/>
    <w:multiLevelType w:val="singleLevel"/>
    <w:tmpl w:val="90518F2E"/>
    <w:lvl w:ilvl="0" w:tentative="0">
      <w:start w:val="1"/>
      <w:numFmt w:val="decimal"/>
      <w:lvlText w:val="%1."/>
      <w:lvlJc w:val="left"/>
      <w:pPr>
        <w:ind w:left="425" w:hanging="425"/>
      </w:pPr>
      <w:rPr>
        <w:rFonts w:hint="default"/>
      </w:rPr>
    </w:lvl>
  </w:abstractNum>
  <w:abstractNum w:abstractNumId="4">
    <w:nsid w:val="9A7CB881"/>
    <w:multiLevelType w:val="singleLevel"/>
    <w:tmpl w:val="9A7CB881"/>
    <w:lvl w:ilvl="0" w:tentative="0">
      <w:start w:val="1"/>
      <w:numFmt w:val="decimal"/>
      <w:lvlText w:val="(%1)"/>
      <w:lvlJc w:val="left"/>
      <w:pPr>
        <w:tabs>
          <w:tab w:val="left" w:pos="420"/>
        </w:tabs>
        <w:ind w:left="845" w:hanging="425"/>
      </w:pPr>
      <w:rPr>
        <w:rFonts w:hint="default"/>
      </w:rPr>
    </w:lvl>
  </w:abstractNum>
  <w:abstractNum w:abstractNumId="5">
    <w:nsid w:val="9E4DC3DF"/>
    <w:multiLevelType w:val="singleLevel"/>
    <w:tmpl w:val="9E4DC3DF"/>
    <w:lvl w:ilvl="0" w:tentative="0">
      <w:start w:val="1"/>
      <w:numFmt w:val="decimal"/>
      <w:lvlText w:val="%1."/>
      <w:lvlJc w:val="left"/>
      <w:pPr>
        <w:ind w:left="425" w:hanging="425"/>
      </w:pPr>
      <w:rPr>
        <w:rFonts w:hint="default"/>
      </w:rPr>
    </w:lvl>
  </w:abstractNum>
  <w:abstractNum w:abstractNumId="6">
    <w:nsid w:val="B8445C10"/>
    <w:multiLevelType w:val="singleLevel"/>
    <w:tmpl w:val="B8445C10"/>
    <w:lvl w:ilvl="0" w:tentative="0">
      <w:start w:val="1"/>
      <w:numFmt w:val="decimal"/>
      <w:lvlText w:val="%1."/>
      <w:lvlJc w:val="left"/>
      <w:pPr>
        <w:ind w:left="425" w:hanging="425"/>
      </w:pPr>
      <w:rPr>
        <w:rFonts w:hint="default"/>
      </w:rPr>
    </w:lvl>
  </w:abstractNum>
  <w:abstractNum w:abstractNumId="7">
    <w:nsid w:val="BAE19009"/>
    <w:multiLevelType w:val="singleLevel"/>
    <w:tmpl w:val="BAE19009"/>
    <w:lvl w:ilvl="0" w:tentative="0">
      <w:start w:val="1"/>
      <w:numFmt w:val="decimal"/>
      <w:lvlText w:val="%1."/>
      <w:lvlJc w:val="left"/>
      <w:pPr>
        <w:ind w:left="425" w:hanging="425"/>
      </w:pPr>
      <w:rPr>
        <w:rFonts w:hint="default"/>
      </w:rPr>
    </w:lvl>
  </w:abstractNum>
  <w:abstractNum w:abstractNumId="8">
    <w:nsid w:val="BC139D5F"/>
    <w:multiLevelType w:val="singleLevel"/>
    <w:tmpl w:val="BC139D5F"/>
    <w:lvl w:ilvl="0" w:tentative="0">
      <w:start w:val="1"/>
      <w:numFmt w:val="decimal"/>
      <w:lvlText w:val="%1."/>
      <w:lvlJc w:val="left"/>
      <w:pPr>
        <w:ind w:left="425" w:hanging="425"/>
      </w:pPr>
      <w:rPr>
        <w:rFonts w:hint="default"/>
      </w:rPr>
    </w:lvl>
  </w:abstractNum>
  <w:abstractNum w:abstractNumId="9">
    <w:nsid w:val="CA2CD86D"/>
    <w:multiLevelType w:val="singleLevel"/>
    <w:tmpl w:val="CA2CD86D"/>
    <w:lvl w:ilvl="0" w:tentative="0">
      <w:start w:val="1"/>
      <w:numFmt w:val="decimal"/>
      <w:lvlText w:val="%1."/>
      <w:lvlJc w:val="left"/>
      <w:pPr>
        <w:ind w:left="425" w:hanging="425"/>
      </w:pPr>
      <w:rPr>
        <w:rFonts w:hint="default"/>
      </w:rPr>
    </w:lvl>
  </w:abstractNum>
  <w:abstractNum w:abstractNumId="10">
    <w:nsid w:val="DFC37815"/>
    <w:multiLevelType w:val="singleLevel"/>
    <w:tmpl w:val="DFC37815"/>
    <w:lvl w:ilvl="0" w:tentative="0">
      <w:start w:val="1"/>
      <w:numFmt w:val="decimal"/>
      <w:lvlText w:val="%1."/>
      <w:lvlJc w:val="left"/>
      <w:pPr>
        <w:ind w:left="425" w:hanging="425"/>
      </w:pPr>
      <w:rPr>
        <w:rFonts w:hint="default"/>
      </w:rPr>
    </w:lvl>
  </w:abstractNum>
  <w:abstractNum w:abstractNumId="11">
    <w:nsid w:val="F9539CF3"/>
    <w:multiLevelType w:val="singleLevel"/>
    <w:tmpl w:val="F9539CF3"/>
    <w:lvl w:ilvl="0" w:tentative="0">
      <w:start w:val="1"/>
      <w:numFmt w:val="decimal"/>
      <w:lvlText w:val="%1."/>
      <w:lvlJc w:val="left"/>
      <w:pPr>
        <w:ind w:left="425" w:hanging="425"/>
      </w:pPr>
      <w:rPr>
        <w:rFonts w:hint="default"/>
      </w:rPr>
    </w:lvl>
  </w:abstractNum>
  <w:abstractNum w:abstractNumId="12">
    <w:nsid w:val="0F06FBFA"/>
    <w:multiLevelType w:val="singleLevel"/>
    <w:tmpl w:val="0F06FBFA"/>
    <w:lvl w:ilvl="0" w:tentative="0">
      <w:start w:val="1"/>
      <w:numFmt w:val="decimal"/>
      <w:lvlText w:val="(%1)"/>
      <w:lvlJc w:val="left"/>
      <w:pPr>
        <w:tabs>
          <w:tab w:val="left" w:pos="420"/>
        </w:tabs>
        <w:ind w:left="845" w:hanging="425"/>
      </w:pPr>
      <w:rPr>
        <w:rFonts w:hint="default"/>
      </w:rPr>
    </w:lvl>
  </w:abstractNum>
  <w:abstractNum w:abstractNumId="13">
    <w:nsid w:val="1AA3783B"/>
    <w:multiLevelType w:val="singleLevel"/>
    <w:tmpl w:val="1AA3783B"/>
    <w:lvl w:ilvl="0" w:tentative="0">
      <w:start w:val="1"/>
      <w:numFmt w:val="decimal"/>
      <w:lvlText w:val="(%1)"/>
      <w:lvlJc w:val="left"/>
      <w:pPr>
        <w:tabs>
          <w:tab w:val="left" w:pos="420"/>
        </w:tabs>
        <w:ind w:left="845" w:hanging="425"/>
      </w:pPr>
      <w:rPr>
        <w:rFonts w:hint="default"/>
      </w:rPr>
    </w:lvl>
  </w:abstractNum>
  <w:abstractNum w:abstractNumId="14">
    <w:nsid w:val="1D943324"/>
    <w:multiLevelType w:val="singleLevel"/>
    <w:tmpl w:val="1D943324"/>
    <w:lvl w:ilvl="0" w:tentative="0">
      <w:start w:val="1"/>
      <w:numFmt w:val="decimal"/>
      <w:lvlText w:val="%1."/>
      <w:lvlJc w:val="left"/>
      <w:pPr>
        <w:ind w:left="425" w:hanging="425"/>
      </w:pPr>
      <w:rPr>
        <w:rFonts w:hint="default"/>
      </w:rPr>
    </w:lvl>
  </w:abstractNum>
  <w:abstractNum w:abstractNumId="15">
    <w:nsid w:val="239E0A31"/>
    <w:multiLevelType w:val="singleLevel"/>
    <w:tmpl w:val="239E0A31"/>
    <w:lvl w:ilvl="0" w:tentative="0">
      <w:start w:val="1"/>
      <w:numFmt w:val="decimal"/>
      <w:lvlText w:val="%1."/>
      <w:lvlJc w:val="left"/>
      <w:pPr>
        <w:ind w:left="425" w:hanging="425"/>
      </w:pPr>
      <w:rPr>
        <w:rFonts w:hint="default"/>
      </w:rPr>
    </w:lvl>
  </w:abstractNum>
  <w:abstractNum w:abstractNumId="16">
    <w:nsid w:val="2D7520D1"/>
    <w:multiLevelType w:val="singleLevel"/>
    <w:tmpl w:val="2D7520D1"/>
    <w:lvl w:ilvl="0" w:tentative="0">
      <w:start w:val="1"/>
      <w:numFmt w:val="decimal"/>
      <w:lvlText w:val="%1."/>
      <w:lvlJc w:val="left"/>
      <w:pPr>
        <w:ind w:left="425" w:hanging="425"/>
      </w:pPr>
      <w:rPr>
        <w:rFonts w:hint="default"/>
      </w:rPr>
    </w:lvl>
  </w:abstractNum>
  <w:abstractNum w:abstractNumId="17">
    <w:nsid w:val="392F5C71"/>
    <w:multiLevelType w:val="singleLevel"/>
    <w:tmpl w:val="392F5C71"/>
    <w:lvl w:ilvl="0" w:tentative="0">
      <w:start w:val="1"/>
      <w:numFmt w:val="decimal"/>
      <w:lvlText w:val="%1."/>
      <w:lvlJc w:val="left"/>
      <w:pPr>
        <w:ind w:left="425" w:hanging="425"/>
      </w:pPr>
      <w:rPr>
        <w:rFonts w:hint="default"/>
      </w:rPr>
    </w:lvl>
  </w:abstractNum>
  <w:abstractNum w:abstractNumId="18">
    <w:nsid w:val="3E4C7FDF"/>
    <w:multiLevelType w:val="singleLevel"/>
    <w:tmpl w:val="3E4C7FDF"/>
    <w:lvl w:ilvl="0" w:tentative="0">
      <w:start w:val="1"/>
      <w:numFmt w:val="decimal"/>
      <w:lvlText w:val="%1."/>
      <w:lvlJc w:val="left"/>
      <w:pPr>
        <w:ind w:left="425" w:hanging="425"/>
      </w:pPr>
      <w:rPr>
        <w:rFonts w:hint="default"/>
      </w:rPr>
    </w:lvl>
  </w:abstractNum>
  <w:abstractNum w:abstractNumId="19">
    <w:nsid w:val="3ED2204D"/>
    <w:multiLevelType w:val="singleLevel"/>
    <w:tmpl w:val="3ED2204D"/>
    <w:lvl w:ilvl="0" w:tentative="0">
      <w:start w:val="1"/>
      <w:numFmt w:val="decimal"/>
      <w:lvlText w:val="%1."/>
      <w:lvlJc w:val="left"/>
      <w:pPr>
        <w:ind w:left="425" w:hanging="425"/>
      </w:pPr>
      <w:rPr>
        <w:rFonts w:hint="default"/>
      </w:rPr>
    </w:lvl>
  </w:abstractNum>
  <w:abstractNum w:abstractNumId="20">
    <w:nsid w:val="504F211E"/>
    <w:multiLevelType w:val="singleLevel"/>
    <w:tmpl w:val="504F211E"/>
    <w:lvl w:ilvl="0" w:tentative="0">
      <w:start w:val="1"/>
      <w:numFmt w:val="decimal"/>
      <w:lvlText w:val="%1."/>
      <w:lvlJc w:val="left"/>
      <w:pPr>
        <w:ind w:left="425" w:hanging="425"/>
      </w:pPr>
      <w:rPr>
        <w:rFonts w:hint="default"/>
      </w:rPr>
    </w:lvl>
  </w:abstractNum>
  <w:abstractNum w:abstractNumId="21">
    <w:nsid w:val="617FE68F"/>
    <w:multiLevelType w:val="singleLevel"/>
    <w:tmpl w:val="617FE68F"/>
    <w:lvl w:ilvl="0" w:tentative="0">
      <w:start w:val="1"/>
      <w:numFmt w:val="decimal"/>
      <w:lvlText w:val="%1."/>
      <w:lvlJc w:val="left"/>
      <w:pPr>
        <w:ind w:left="425" w:hanging="425"/>
      </w:pPr>
      <w:rPr>
        <w:rFonts w:hint="default"/>
      </w:rPr>
    </w:lvl>
  </w:abstractNum>
  <w:abstractNum w:abstractNumId="22">
    <w:nsid w:val="63F819C8"/>
    <w:multiLevelType w:val="singleLevel"/>
    <w:tmpl w:val="63F819C8"/>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20"/>
  </w:num>
  <w:num w:numId="4">
    <w:abstractNumId w:val="21"/>
  </w:num>
  <w:num w:numId="5">
    <w:abstractNumId w:val="5"/>
  </w:num>
  <w:num w:numId="6">
    <w:abstractNumId w:val="8"/>
  </w:num>
  <w:num w:numId="7">
    <w:abstractNumId w:val="0"/>
  </w:num>
  <w:num w:numId="8">
    <w:abstractNumId w:val="3"/>
  </w:num>
  <w:num w:numId="9">
    <w:abstractNumId w:val="15"/>
  </w:num>
  <w:num w:numId="10">
    <w:abstractNumId w:val="4"/>
  </w:num>
  <w:num w:numId="11">
    <w:abstractNumId w:val="18"/>
  </w:num>
  <w:num w:numId="12">
    <w:abstractNumId w:val="12"/>
  </w:num>
  <w:num w:numId="13">
    <w:abstractNumId w:val="10"/>
  </w:num>
  <w:num w:numId="14">
    <w:abstractNumId w:val="7"/>
  </w:num>
  <w:num w:numId="15">
    <w:abstractNumId w:val="14"/>
  </w:num>
  <w:num w:numId="16">
    <w:abstractNumId w:val="22"/>
  </w:num>
  <w:num w:numId="17">
    <w:abstractNumId w:val="1"/>
  </w:num>
  <w:num w:numId="18">
    <w:abstractNumId w:val="13"/>
  </w:num>
  <w:num w:numId="19">
    <w:abstractNumId w:val="16"/>
  </w:num>
  <w:num w:numId="20">
    <w:abstractNumId w:val="17"/>
  </w:num>
  <w:num w:numId="21">
    <w:abstractNumId w:val="9"/>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246AC0"/>
    <w:rsid w:val="217F7D0B"/>
    <w:rsid w:val="289D48FE"/>
    <w:rsid w:val="549E2395"/>
    <w:rsid w:val="60054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4436</Words>
  <Characters>4619</Characters>
  <Lines>0</Lines>
  <Paragraphs>0</Paragraphs>
  <TotalTime>3</TotalTime>
  <ScaleCrop>false</ScaleCrop>
  <LinksUpToDate>false</LinksUpToDate>
  <CharactersWithSpaces>4738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2025-12-27T07:21:18Z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