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5951D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bookmarkStart w:id="11" w:name="_GoBack"/>
      <w:bookmarkEnd w:id="11"/>
    </w:p>
    <w:p w14:paraId="0ED11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4C68BE67">
      <w:pPr>
        <w:pStyle w:val="24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0" w:name="_Toc16029"/>
      <w:bookmarkStart w:id="1" w:name="_Toc22278"/>
      <w:r>
        <w:rPr>
          <w:rFonts w:hint="eastAsia"/>
          <w:lang w:val="en-US" w:eastAsia="zh-CN"/>
        </w:rPr>
        <w:t>青岛瑞源工程集团有限公司</w:t>
      </w:r>
      <w:bookmarkEnd w:id="0"/>
      <w:bookmarkEnd w:id="1"/>
    </w:p>
    <w:p w14:paraId="3F0506D4">
      <w:pPr>
        <w:pStyle w:val="25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 w:eastAsia="黑体"/>
          <w:lang w:val="en-US" w:eastAsia="zh-CN"/>
        </w:rPr>
      </w:pPr>
      <w:bookmarkStart w:id="2" w:name="_Toc31181"/>
      <w:r>
        <w:rPr>
          <w:rFonts w:hint="eastAsia"/>
          <w:lang w:val="en-US" w:eastAsia="zh-CN"/>
        </w:rPr>
        <w:t>过程框架设计会议纪要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5539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F66E39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7F1F212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FDE9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87148F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2128295368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2128295368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4CAACD3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D879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FD5681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4A3063B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E5347C6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p w14:paraId="5341D9AB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65B8C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8E710A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48E594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C7B5D6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DF94AA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05B100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3290C3E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37A5A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E05E0B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13A0FED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743553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1402CC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0503D99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136400212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136400212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6A14A5F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245043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D44AC9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09F7A4C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22E16C8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17FA309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15787B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ACC5D2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0F9D76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E4FB85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7510B4C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683B652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463C2F9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10EE64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D66451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5517E8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819655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3329C7B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685EA11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264F77F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50" w:type="dxa"/>
          </w:tcPr>
          <w:p w14:paraId="56733F2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240" w:type="dxa"/>
          </w:tcPr>
          <w:p w14:paraId="0664776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607961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290AA0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1BECD39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4F1C8BD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0844696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50" w:type="dxa"/>
          </w:tcPr>
          <w:p w14:paraId="4C0C72A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240" w:type="dxa"/>
          </w:tcPr>
          <w:p w14:paraId="0F8BB35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2EE619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5A2D1E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3F4EDC3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5A3995A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67DB343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50" w:type="dxa"/>
          </w:tcPr>
          <w:p w14:paraId="7498C7F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240" w:type="dxa"/>
          </w:tcPr>
          <w:p w14:paraId="0CE7DCC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</w:tbl>
    <w:p w14:paraId="6F49877B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588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6BEAA390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6CC31B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_Toc16029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_Toc16029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2AB8396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_Toc31181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过程框架设计会议纪要</w:t>
          </w:r>
          <w:r>
            <w:tab/>
          </w:r>
          <w:r>
            <w:fldChar w:fldCharType="begin"/>
          </w:r>
          <w:r>
            <w:instrText xml:space="preserve"> PAGEREF _Toc31181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3AD4AF0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_Toc2275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会议议程与目标</w:t>
          </w:r>
          <w:r>
            <w:tab/>
          </w:r>
          <w:r>
            <w:fldChar w:fldCharType="begin"/>
          </w:r>
          <w:r>
            <w:instrText xml:space="preserve"> PAGEREF _Toc2275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4D64B4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_Toc25382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讨论内容与结论</w:t>
          </w:r>
          <w:r>
            <w:tab/>
          </w:r>
          <w:r>
            <w:fldChar w:fldCharType="begin"/>
          </w:r>
          <w:r>
            <w:instrText xml:space="preserve"> PAGEREF _Toc25382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A4698AA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_Toc8572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制度回顾与设计图目的确认</w:t>
          </w:r>
          <w:r>
            <w:tab/>
          </w:r>
          <w:r>
            <w:fldChar w:fldCharType="begin"/>
          </w:r>
          <w:r>
            <w:instrText xml:space="preserve"> PAGEREF _Toc8572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A591FB2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_Toc5128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过程框架管理设计图方案审议</w:t>
          </w:r>
          <w:r>
            <w:tab/>
          </w:r>
          <w:r>
            <w:fldChar w:fldCharType="begin"/>
          </w:r>
          <w:r>
            <w:instrText xml:space="preserve"> PAGEREF _Toc5128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405C904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_Toc13544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职责归属与接口界定</w:t>
          </w:r>
          <w:r>
            <w:tab/>
          </w:r>
          <w:r>
            <w:fldChar w:fldCharType="begin"/>
          </w:r>
          <w:r>
            <w:instrText xml:space="preserve"> PAGEREF _Toc13544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7429769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_Toc9516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落地实施初步计划</w:t>
          </w:r>
          <w:r>
            <w:tab/>
          </w:r>
          <w:r>
            <w:fldChar w:fldCharType="begin"/>
          </w:r>
          <w:r>
            <w:instrText xml:space="preserve"> PAGEREF _Toc9516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5E28F0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topLinePunct w:val="0"/>
            <w:bidi w:val="0"/>
          </w:pPr>
          <w:r>
            <w:fldChar w:fldCharType="begin"/>
          </w:r>
          <w:r>
            <w:instrText xml:space="preserve"> HYPERLINK \l _Toc26215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会议决议摘要</w:t>
          </w:r>
          <w:r>
            <w:tab/>
          </w:r>
          <w:r>
            <w:fldChar w:fldCharType="begin"/>
          </w:r>
          <w:r>
            <w:instrText xml:space="preserve"> PAGEREF _Toc26215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2FE9971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</w:pPr>
          <w:r>
            <w:fldChar w:fldCharType="end"/>
          </w:r>
          <w:bookmarkStart w:id="3" w:name="bookmark14"/>
          <w:bookmarkEnd w:id="3"/>
        </w:p>
      </w:sdtContent>
    </w:sdt>
    <w:p w14:paraId="544D7F36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F53DA03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4" w:name="_Toc2275"/>
      <w:r>
        <w:rPr>
          <w:rFonts w:hint="eastAsia"/>
          <w:lang w:val="en-US" w:eastAsia="zh-CN"/>
        </w:rPr>
        <w:t>会议议程与目标</w:t>
      </w:r>
      <w:bookmarkEnd w:id="4"/>
    </w:p>
    <w:p w14:paraId="4F5403DB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回顾已制定的《过程框架管理制度》核心内容与目标。</w:t>
      </w:r>
    </w:p>
    <w:p w14:paraId="6AAB4A5B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审议并确定“过程框架管理设计图”的初步方案。</w:t>
      </w:r>
    </w:p>
    <w:p w14:paraId="0C910EFE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明确设计图中各模块的职责归属与接口关系。</w:t>
      </w:r>
    </w:p>
    <w:p w14:paraId="0D751C27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确定设计图落地实施的初步行动计划与关键时间节点。</w:t>
      </w:r>
    </w:p>
    <w:p w14:paraId="4F870DA5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5" w:name="_Toc25382"/>
      <w:r>
        <w:rPr>
          <w:rFonts w:hint="eastAsia"/>
          <w:lang w:val="en-US" w:eastAsia="zh-CN"/>
        </w:rPr>
        <w:t>讨论内容与结论</w:t>
      </w:r>
      <w:bookmarkEnd w:id="5"/>
    </w:p>
    <w:p w14:paraId="576EFF75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6" w:name="_Toc8572"/>
      <w:r>
        <w:rPr>
          <w:rFonts w:hint="eastAsia"/>
          <w:lang w:val="en-US" w:eastAsia="zh-CN"/>
        </w:rPr>
        <w:t>制度回顾与设计图目的确认</w:t>
      </w:r>
      <w:bookmarkEnd w:id="6"/>
    </w:p>
    <w:p w14:paraId="42166452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会议一致认为，建立《过程框架管理制度》是规范运维服务交付、提升运营效率与质量、实现持续改进的重要基础。</w:t>
      </w:r>
    </w:p>
    <w:p w14:paraId="6D8B8750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“过程框架管理设计图”作为制度的可视化与结构化呈现，旨在：</w:t>
      </w:r>
    </w:p>
    <w:p w14:paraId="558D267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清晰描绘运维核心过程的全景及关联关系。</w:t>
      </w:r>
    </w:p>
    <w:p w14:paraId="38CDA1E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明确各过程的输入、输出、控制点与责任人。</w:t>
      </w:r>
    </w:p>
    <w:p w14:paraId="44BAA5A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为流程执行、监控、审计与优化提供直观指引。</w:t>
      </w:r>
    </w:p>
    <w:p w14:paraId="3E3FE88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确保制度要求与实际操作紧密结合。</w:t>
      </w:r>
    </w:p>
    <w:p w14:paraId="1E433247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7" w:name="_Toc5128"/>
      <w:r>
        <w:rPr>
          <w:rFonts w:hint="eastAsia"/>
          <w:lang w:val="en-US" w:eastAsia="zh-CN"/>
        </w:rPr>
        <w:t>过程框架管理设计图方案审议</w:t>
      </w:r>
      <w:bookmarkEnd w:id="7"/>
    </w:p>
    <w:p w14:paraId="29BF051A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会议审议了由平台运维组牵头起草的“过程框架管理设计图（草案）”。该草案基于ITIL、ISO 20000等最佳实践，结合公司实际，将运维过程划分为四大领域：</w:t>
      </w:r>
    </w:p>
    <w:p w14:paraId="2F5B6292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服务战略与设计领域： 包含服务目录管理、服务水平管理（SLA）、容量与可用性规划等过程。</w:t>
      </w:r>
    </w:p>
    <w:p w14:paraId="1A178475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服务过渡与部署领域： 包含变更管理、发布与部署管理、配置管理等过程。</w:t>
      </w:r>
    </w:p>
    <w:p w14:paraId="1CF621C4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服务运营与支持领域： 包含事件管理、问题管理、请求履行、运维值班与监控等核心运营过程。</w:t>
      </w:r>
    </w:p>
    <w:p w14:paraId="05795A40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持续改进与治理领域： 包含服务评审、管理评审、内审、持续改进（PDCA循环）等过程。</w:t>
      </w:r>
    </w:p>
    <w:p w14:paraId="34E23DB0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会议决议： 原则通过该框架结构。要求在图示中进一步突出“监控与报告”主线，并清晰标注各过程间的信息流与触发关系。</w:t>
      </w:r>
    </w:p>
    <w:p w14:paraId="3B526FC9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8" w:name="_Toc13544"/>
      <w:r>
        <w:rPr>
          <w:rFonts w:hint="eastAsia"/>
          <w:lang w:val="en-US" w:eastAsia="zh-CN"/>
        </w:rPr>
        <w:t>职责归属与接口界定</w:t>
      </w:r>
      <w:bookmarkEnd w:id="8"/>
    </w:p>
    <w:p w14:paraId="0438C78F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会议明确了设计图中各主要过程的关联关系：</w:t>
      </w:r>
    </w:p>
    <w:p w14:paraId="7DA95419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平台运维组作为大多数运营与支持过程的主导部门，并对服务过渡过程承担关键角色。</w:t>
      </w:r>
    </w:p>
    <w:p w14:paraId="7AE1923B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平台运维组主导容量规划、部分部署技术支持。</w:t>
      </w:r>
    </w:p>
    <w:p w14:paraId="4EECE336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管控部主导持续改进机制、内审及部分流程质量度量。</w:t>
      </w:r>
    </w:p>
    <w:p w14:paraId="387D8EE8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平台运维组和管控部在涉及项目制的变更与发布中提供协同。</w:t>
      </w:r>
    </w:p>
    <w:p w14:paraId="3CC3F46B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会议决议：过程框架设计图定稿。</w:t>
      </w:r>
    </w:p>
    <w:p w14:paraId="5592109B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9" w:name="_Toc9516"/>
      <w:r>
        <w:rPr>
          <w:rFonts w:hint="eastAsia"/>
          <w:lang w:val="en-US" w:eastAsia="zh-CN"/>
        </w:rPr>
        <w:t>落地实施初步计划</w:t>
      </w:r>
      <w:bookmarkEnd w:id="9"/>
    </w:p>
    <w:p w14:paraId="38919ADF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设计图定稿：由平台运维组根据本次会议意见，于2025年1月15日前完成设计图的修改与美化，并提交给管控部会签。</w:t>
      </w:r>
    </w:p>
    <w:p w14:paraId="527CE700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配套细则制定：以设计图为蓝图，各主导部门开始梳理或完善所负责过程的详细操作程序（SOP）、工作模板及关键绩效指标（KPI）。此项工作作为下一阶段重点。</w:t>
      </w:r>
    </w:p>
    <w:p w14:paraId="74576146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宣贯与培训：计划在2025年1月中旬组织面向平台运维组及相关部门的制度与设计图专题宣贯会，由平台运维组和管控部共同主持。</w:t>
      </w:r>
    </w:p>
    <w:p w14:paraId="44580B1F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试点运行与全面推行：初步选定“事件管理”与“变更管理”两个过程依据新框架进行强化运行。视试点情况，逐步全面推行。</w:t>
      </w:r>
    </w:p>
    <w:p w14:paraId="7E5B91CA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10" w:name="_Toc26215"/>
      <w:r>
        <w:rPr>
          <w:rFonts w:hint="eastAsia"/>
          <w:lang w:val="en-US" w:eastAsia="zh-CN"/>
        </w:rPr>
        <w:t>会议决议摘要</w:t>
      </w:r>
      <w:bookmarkEnd w:id="10"/>
    </w:p>
    <w:p w14:paraId="3E216E54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通过以服务级别管理、服务报告管理、事件管理、问题管理、变更管理、发布管理、配置管理、服务可用性和连续性、容量管理和信息安全管理等为核心的过程框架管理设计图主体结构。</w:t>
      </w:r>
    </w:p>
    <w:p w14:paraId="6DBC04CC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平台运维组根据会议意见完善设计图，并于指定日期前完成定稿。</w:t>
      </w:r>
    </w:p>
    <w:p w14:paraId="1BEAA990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明确了各过程模块的职责归属，要求在设计图中予以体现。</w:t>
      </w:r>
    </w:p>
    <w:p w14:paraId="4B21F38F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批准了设计图落地实施的初步时间计划，进入准备阶段。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F1A55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BA5F7F5"/>
    <w:multiLevelType w:val="singleLevel"/>
    <w:tmpl w:val="4BA5F7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BA7CA7"/>
    <w:rsid w:val="02B65032"/>
    <w:rsid w:val="049F4D0B"/>
    <w:rsid w:val="08E21B49"/>
    <w:rsid w:val="10BB33AB"/>
    <w:rsid w:val="11FF19BD"/>
    <w:rsid w:val="17204E58"/>
    <w:rsid w:val="18CB4F16"/>
    <w:rsid w:val="1A6920CA"/>
    <w:rsid w:val="1E917E41"/>
    <w:rsid w:val="253D769B"/>
    <w:rsid w:val="25E4508B"/>
    <w:rsid w:val="2673350C"/>
    <w:rsid w:val="272A0E33"/>
    <w:rsid w:val="27FF7BCA"/>
    <w:rsid w:val="283C5561"/>
    <w:rsid w:val="2BD15D21"/>
    <w:rsid w:val="2E2E3E25"/>
    <w:rsid w:val="2F8541A9"/>
    <w:rsid w:val="39275AE1"/>
    <w:rsid w:val="3A2D4A6A"/>
    <w:rsid w:val="3B351E28"/>
    <w:rsid w:val="3E133F77"/>
    <w:rsid w:val="3E916A5A"/>
    <w:rsid w:val="450D34CE"/>
    <w:rsid w:val="481334F1"/>
    <w:rsid w:val="4946084B"/>
    <w:rsid w:val="4BE17463"/>
    <w:rsid w:val="4E37780E"/>
    <w:rsid w:val="533F163E"/>
    <w:rsid w:val="546926EB"/>
    <w:rsid w:val="56DE0AFD"/>
    <w:rsid w:val="57603931"/>
    <w:rsid w:val="5A951B44"/>
    <w:rsid w:val="5F5426B3"/>
    <w:rsid w:val="60F90953"/>
    <w:rsid w:val="65781896"/>
    <w:rsid w:val="6A4E1D0F"/>
    <w:rsid w:val="6B8B77E1"/>
    <w:rsid w:val="72132073"/>
    <w:rsid w:val="728C0208"/>
    <w:rsid w:val="780F0D30"/>
    <w:rsid w:val="78324A1E"/>
    <w:rsid w:val="7877498F"/>
    <w:rsid w:val="7C27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1330</Words>
  <Characters>1427</Characters>
  <Lines>0</Lines>
  <Paragraphs>0</Paragraphs>
  <TotalTime>2</TotalTime>
  <ScaleCrop>false</ScaleCrop>
  <LinksUpToDate>false</LinksUpToDate>
  <CharactersWithSpaces>1468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2025-12-27T08:37:36Z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