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04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3694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 w:eastAsia="黑体"/>
          <w:lang w:val="en-US" w:eastAsia="zh-CN"/>
        </w:rPr>
      </w:pPr>
      <w:bookmarkStart w:id="2" w:name="_Toc22562"/>
      <w:r>
        <w:rPr>
          <w:rFonts w:hint="eastAsia"/>
          <w:lang w:val="en-US" w:eastAsia="zh-CN"/>
        </w:rPr>
        <w:t>项目新增服务器扩容方案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E17B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_Toc13694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_Toc13694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3AE2AA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_Toc22562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项目新增服务器扩容方案</w:t>
          </w:r>
          <w:r>
            <w:tab/>
          </w:r>
          <w:r>
            <w:fldChar w:fldCharType="begin"/>
          </w:r>
          <w:r>
            <w:instrText xml:space="preserve"> PAGEREF _Toc22562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F259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_Toc5908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_Toc5908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797AE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_Toc9938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扩容目标</w:t>
          </w:r>
          <w:r>
            <w:tab/>
          </w:r>
          <w:r>
            <w:fldChar w:fldCharType="begin"/>
          </w:r>
          <w:r>
            <w:instrText xml:space="preserve"> PAGEREF _Toc9938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E15A4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_Toc3658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实施前准备</w:t>
          </w:r>
          <w:r>
            <w:tab/>
          </w:r>
          <w:r>
            <w:fldChar w:fldCharType="begin"/>
          </w:r>
          <w:r>
            <w:instrText xml:space="preserve"> PAGEREF _Toc3658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D31CF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_Toc24185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环境检查</w:t>
          </w:r>
          <w:r>
            <w:tab/>
          </w:r>
          <w:r>
            <w:fldChar w:fldCharType="begin"/>
          </w:r>
          <w:r>
            <w:instrText xml:space="preserve"> PAGEREF _Toc24185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8933C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_Toc14869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t>硬件检查</w:t>
          </w:r>
          <w:r>
            <w:tab/>
          </w:r>
          <w:r>
            <w:fldChar w:fldCharType="begin"/>
          </w:r>
          <w:r>
            <w:instrText xml:space="preserve"> PAGEREF _Toc14869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D6303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_Toc25331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t>软件检查</w:t>
          </w:r>
          <w:r>
            <w:tab/>
          </w:r>
          <w:r>
            <w:fldChar w:fldCharType="begin"/>
          </w:r>
          <w:r>
            <w:instrText xml:space="preserve"> PAGEREF _Toc25331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9EA13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_Toc5301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t>网络环境检查</w:t>
          </w:r>
          <w:r>
            <w:tab/>
          </w:r>
          <w:r>
            <w:fldChar w:fldCharType="begin"/>
          </w:r>
          <w:r>
            <w:instrText xml:space="preserve"> PAGEREF _Toc5301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42AA2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_Toc7177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资源规划</w:t>
          </w:r>
          <w:r>
            <w:tab/>
          </w:r>
          <w:r>
            <w:fldChar w:fldCharType="begin"/>
          </w:r>
          <w:r>
            <w:instrText xml:space="preserve"> PAGEREF _Toc7177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A618D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CCA4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_Toc23942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1D483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_Toc14740 </w:instrText>
          </w:r>
          <w:r>
            <w:fldChar w:fldCharType="separate"/>
          </w:r>
          <w:r>
            <w:rPr>
              <w:rFonts w:hint="default"/>
            </w:rPr>
            <w:t xml:space="preserve">3.3.2. </w:t>
          </w:r>
          <w:r>
            <w:t>运维</w:t>
          </w:r>
          <w:r>
            <w:rPr>
              <w:rFonts w:hint="eastAsia"/>
              <w:lang w:val="en-US" w:eastAsia="zh-CN"/>
            </w:rPr>
            <w:t>实施工程师</w:t>
          </w:r>
          <w:r>
            <w:tab/>
          </w:r>
          <w:r>
            <w:fldChar w:fldCharType="begin"/>
          </w:r>
          <w:r>
            <w:instrText xml:space="preserve"> PAGEREF _Toc14740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76EDDB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_Toc21732 </w:instrText>
          </w:r>
          <w:r>
            <w:fldChar w:fldCharType="separate"/>
          </w:r>
          <w:r>
            <w:rPr>
              <w:rFonts w:hint="default"/>
            </w:rPr>
            <w:t xml:space="preserve">3.3.3. </w:t>
          </w:r>
          <w:r>
            <w:t>测试</w:t>
          </w:r>
          <w:r>
            <w:rPr>
              <w:rFonts w:hint="eastAsia"/>
              <w:lang w:val="en-US" w:eastAsia="zh-CN"/>
            </w:rPr>
            <w:t>工程师</w:t>
          </w:r>
          <w:r>
            <w:tab/>
          </w:r>
          <w:r>
            <w:fldChar w:fldCharType="begin"/>
          </w:r>
          <w:r>
            <w:instrText xml:space="preserve"> PAGEREF _Toc21732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1217F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_Toc14971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时间计划</w:t>
          </w:r>
          <w:r>
            <w:tab/>
          </w:r>
          <w:r>
            <w:fldChar w:fldCharType="begin"/>
          </w:r>
          <w:r>
            <w:instrText xml:space="preserve"> PAGEREF _Toc14971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62F5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实施步骤</w:t>
          </w:r>
          <w:r>
            <w:tab/>
          </w:r>
          <w:r>
            <w:fldChar w:fldCharType="begin"/>
          </w:r>
          <w:r>
            <w:instrText xml:space="preserve"> PAGEREF _Toc20821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224A0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_Toc11098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服务器采购与到货验收</w:t>
          </w:r>
          <w:r>
            <w:tab/>
          </w:r>
          <w:r>
            <w:fldChar w:fldCharType="begin"/>
          </w:r>
          <w:r>
            <w:instrText xml:space="preserve"> PAGEREF _Toc11098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A4CA8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服务器安装与部署</w:t>
          </w:r>
          <w:r>
            <w:tab/>
          </w:r>
          <w:r>
            <w:fldChar w:fldCharType="begin"/>
          </w:r>
          <w:r>
            <w:instrText xml:space="preserve"> PAGEREF _Toc8510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34A2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_Toc21671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系统测试与调试</w:t>
          </w:r>
          <w:r>
            <w:tab/>
          </w:r>
          <w:r>
            <w:fldChar w:fldCharType="begin"/>
          </w:r>
          <w:r>
            <w:instrText xml:space="preserve"> PAGEREF _Toc21671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B56B4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_Toc22620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验收与总结</w:t>
          </w:r>
          <w:r>
            <w:tab/>
          </w:r>
          <w:r>
            <w:fldChar w:fldCharType="begin"/>
          </w:r>
          <w:r>
            <w:instrText xml:space="preserve"> PAGEREF _Toc22620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C0A40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_Toc7134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验收标准</w:t>
          </w:r>
          <w:r>
            <w:tab/>
          </w:r>
          <w:r>
            <w:fldChar w:fldCharType="begin"/>
          </w:r>
          <w:r>
            <w:instrText xml:space="preserve"> PAGEREF _Toc7134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47119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_Toc11300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验收流程</w:t>
          </w:r>
          <w:r>
            <w:tab/>
          </w:r>
          <w:r>
            <w:fldChar w:fldCharType="begin"/>
          </w:r>
          <w:r>
            <w:instrText xml:space="preserve"> PAGEREF _Toc11300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956A0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_Toc22243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项目总结</w:t>
          </w:r>
          <w:r>
            <w:tab/>
          </w:r>
          <w:r>
            <w:fldChar w:fldCharType="begin"/>
          </w:r>
          <w:r>
            <w:instrText xml:space="preserve"> PAGEREF _Toc22243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841276">
          <w:r>
            <w:fldChar w:fldCharType="end"/>
          </w:r>
        </w:p>
      </w:sdtContent>
    </w:sdt>
    <w:p w14:paraId="1076D464"/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D84AEB6">
      <w:pPr>
        <w:pStyle w:val="28"/>
        <w:bidi w:val="0"/>
      </w:pPr>
      <w:bookmarkStart w:id="3" w:name="bookmark14"/>
      <w:bookmarkEnd w:id="3"/>
      <w:bookmarkStart w:id="4" w:name="_Toc5908"/>
      <w:r>
        <w:t>项目背景</w:t>
      </w:r>
      <w:bookmarkEnd w:id="4"/>
    </w:p>
    <w:p w14:paraId="5AEE85C7">
      <w:pPr>
        <w:pStyle w:val="29"/>
        <w:bidi w:val="0"/>
      </w:pPr>
      <w:r>
        <w:t>随着业务的持续拓展，客户新增视频查看功能，为保障业务的顺畅开展，提升用户体验，特制定本服务器扩容方案。</w:t>
      </w:r>
    </w:p>
    <w:p w14:paraId="0DAE8517">
      <w:pPr>
        <w:pStyle w:val="28"/>
        <w:bidi w:val="0"/>
      </w:pPr>
      <w:bookmarkStart w:id="5" w:name="_Toc9938"/>
      <w:r>
        <w:t>扩容目标</w:t>
      </w:r>
      <w:bookmarkEnd w:id="5"/>
    </w:p>
    <w:p w14:paraId="65FC88D3">
      <w:pPr>
        <w:pStyle w:val="41"/>
        <w:numPr>
          <w:ilvl w:val="0"/>
          <w:numId w:val="2"/>
        </w:numPr>
        <w:bidi w:val="0"/>
      </w:pPr>
      <w:r>
        <w:t>增加应用服务器的查看视频功能，使系统能够顺畅处理至少10路并发请求，将每一路转码应时间缩短至3秒以内。</w:t>
      </w:r>
    </w:p>
    <w:p w14:paraId="5F832BD1">
      <w:pPr>
        <w:pStyle w:val="41"/>
        <w:numPr>
          <w:ilvl w:val="0"/>
          <w:numId w:val="2"/>
        </w:numPr>
        <w:bidi w:val="0"/>
      </w:pPr>
      <w:r>
        <w:t>增强系统的稳定性和可靠性，降低因服务器负载过高导致的故障发生率，确保系统全年无故障运行时间达到 99%以上。</w:t>
      </w:r>
    </w:p>
    <w:p w14:paraId="3EDE8D8F">
      <w:pPr>
        <w:pStyle w:val="41"/>
        <w:numPr>
          <w:ilvl w:val="0"/>
          <w:numId w:val="2"/>
        </w:numPr>
        <w:bidi w:val="0"/>
      </w:pPr>
      <w:r>
        <w:t>为未来业务的进一步发展预留足够的扩展空间，满足未来2年内业务增长对服务器资源的需求。</w:t>
      </w:r>
    </w:p>
    <w:p w14:paraId="4E5E47E0">
      <w:pPr>
        <w:pStyle w:val="28"/>
        <w:bidi w:val="0"/>
      </w:pPr>
      <w:bookmarkStart w:id="6" w:name="_Toc3658"/>
      <w:r>
        <w:t>实施前准备</w:t>
      </w:r>
      <w:bookmarkEnd w:id="6"/>
    </w:p>
    <w:p w14:paraId="5D9B3A26">
      <w:pPr>
        <w:pStyle w:val="30"/>
        <w:bidi w:val="0"/>
      </w:pPr>
      <w:bookmarkStart w:id="7" w:name="_Toc24185"/>
      <w:r>
        <w:t>环境检查</w:t>
      </w:r>
      <w:bookmarkEnd w:id="7"/>
    </w:p>
    <w:p w14:paraId="48020CFB">
      <w:pPr>
        <w:pStyle w:val="31"/>
        <w:bidi w:val="0"/>
      </w:pPr>
      <w:bookmarkStart w:id="8" w:name="_Toc14869"/>
      <w:r>
        <w:t>硬件检查</w:t>
      </w:r>
      <w:bookmarkEnd w:id="8"/>
    </w:p>
    <w:p w14:paraId="0258206C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对现有服务器的 CPU、内存、硬盘、网络接口等硬件设备进行全面检测</w:t>
      </w:r>
      <w:r>
        <w:rPr>
          <w:rFonts w:hint="eastAsia"/>
          <w:lang w:eastAsia="zh-CN"/>
        </w:rPr>
        <w:t>。</w:t>
      </w:r>
    </w:p>
    <w:p w14:paraId="5928592D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查看是否存在硬件故障或性能瓶颈。记录各硬件的当前使用情况，如 CPU 使用率、内存占用率、硬盘存储空间及读写速度等。</w:t>
      </w:r>
    </w:p>
    <w:p w14:paraId="5537A6DA">
      <w:pPr>
        <w:pStyle w:val="31"/>
        <w:bidi w:val="0"/>
      </w:pPr>
      <w:bookmarkStart w:id="9" w:name="_Toc25331"/>
      <w:r>
        <w:t>软件检查</w:t>
      </w:r>
      <w:bookmarkEnd w:id="9"/>
    </w:p>
    <w:p w14:paraId="59D443B3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检查服务器上运行的操作系统、数据库、中间件等软件的版本、配置及运行状态。确认软件是否存在漏洞或兼容性问题，必要时进行升级或修复。</w:t>
      </w:r>
    </w:p>
    <w:p w14:paraId="0F19001C">
      <w:pPr>
        <w:pStyle w:val="31"/>
        <w:bidi w:val="0"/>
      </w:pPr>
      <w:bookmarkStart w:id="10" w:name="_Toc5301"/>
      <w:r>
        <w:t>网络环境检查</w:t>
      </w:r>
      <w:bookmarkEnd w:id="10"/>
    </w:p>
    <w:p w14:paraId="1FA28B9D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检查服务器所在网络的带宽、网络延迟、网络拓扑结构等。确保网络环境能够满足扩容后服务器的通信需求，避免因网络问题影响服务器性能。</w:t>
      </w:r>
    </w:p>
    <w:p w14:paraId="257477E2">
      <w:pPr>
        <w:pStyle w:val="30"/>
        <w:bidi w:val="0"/>
      </w:pPr>
      <w:bookmarkStart w:id="11" w:name="_Toc7177"/>
      <w:r>
        <w:t>资源规划</w:t>
      </w:r>
      <w:bookmarkEnd w:id="11"/>
    </w:p>
    <w:p w14:paraId="51573D40">
      <w:pPr>
        <w:pStyle w:val="29"/>
        <w:bidi w:val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t>根据业务需求和当前服务器的负载情况，确定需要新增的服务器数量及配置。新增服务器</w:t>
      </w:r>
      <w:r>
        <w:rPr>
          <w:rFonts w:hint="eastAsia"/>
          <w:lang w:eastAsia="zh-CN"/>
        </w:rPr>
        <w:t>、</w:t>
      </w:r>
      <w:r>
        <w:t>CPU、内存</w:t>
      </w:r>
      <w:r>
        <w:rPr>
          <w:rFonts w:hint="eastAsia"/>
          <w:lang w:val="en-US" w:eastAsia="zh-CN"/>
        </w:rPr>
        <w:t>和</w:t>
      </w:r>
      <w:r>
        <w:t>硬盘等硬件配置应满足扩容目标的要求，具体</w:t>
      </w:r>
      <w:r>
        <w:rPr>
          <w:rFonts w:hint="eastAsia"/>
          <w:lang w:val="en-US" w:eastAsia="zh-CN"/>
        </w:rPr>
        <w:t>扩容</w:t>
      </w:r>
      <w:r>
        <w:t>配置如</w:t>
      </w:r>
      <w:r>
        <w:rPr>
          <w:rFonts w:hint="eastAsia"/>
          <w:lang w:val="en-US" w:eastAsia="zh-CN"/>
        </w:rPr>
        <w:t>表3-1所示。</w:t>
      </w:r>
    </w:p>
    <w:p w14:paraId="2DC5D288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</w:instrText>
      </w:r>
      <w:r>
        <w:rPr>
          <w:rFonts w:hint="eastAsia"/>
          <w:lang w:val="en-US" w:eastAsia="zh-CN"/>
        </w:rPr>
        <w:instrText xml:space="preserve">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扩容配置表</w:t>
      </w:r>
    </w:p>
    <w:p w14:paraId="4D91C3C6">
      <w:pPr>
        <w:spacing w:line="68" w:lineRule="exact"/>
      </w:pPr>
    </w:p>
    <w:tbl>
      <w:tblPr>
        <w:tblStyle w:val="26"/>
        <w:tblW w:w="8303" w:type="dxa"/>
        <w:tblInd w:w="7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02E4C0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99" w:type="dxa"/>
          </w:tcPr>
          <w:p w14:paraId="716AFAFA">
            <w:pPr>
              <w:spacing w:before="170" w:line="199" w:lineRule="auto"/>
              <w:ind w:left="11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Cpu</w:t>
            </w:r>
          </w:p>
        </w:tc>
        <w:tc>
          <w:tcPr>
            <w:tcW w:w="1674" w:type="dxa"/>
          </w:tcPr>
          <w:p w14:paraId="038EC4DA">
            <w:pPr>
              <w:spacing w:before="158" w:line="228" w:lineRule="auto"/>
              <w:ind w:left="13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7"/>
                <w:sz w:val="22"/>
                <w:szCs w:val="22"/>
              </w:rPr>
              <w:t>内存</w:t>
            </w:r>
          </w:p>
        </w:tc>
        <w:tc>
          <w:tcPr>
            <w:tcW w:w="1672" w:type="dxa"/>
          </w:tcPr>
          <w:p w14:paraId="664BB31E">
            <w:pPr>
              <w:spacing w:before="159" w:line="226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硬盘</w:t>
            </w:r>
          </w:p>
        </w:tc>
        <w:tc>
          <w:tcPr>
            <w:tcW w:w="1627" w:type="dxa"/>
          </w:tcPr>
          <w:p w14:paraId="2C3B741D">
            <w:pPr>
              <w:spacing w:before="159" w:line="225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产品类型</w:t>
            </w:r>
          </w:p>
        </w:tc>
        <w:tc>
          <w:tcPr>
            <w:tcW w:w="1631" w:type="dxa"/>
          </w:tcPr>
          <w:p w14:paraId="76619669">
            <w:pPr>
              <w:spacing w:before="159" w:line="228" w:lineRule="auto"/>
              <w:ind w:left="13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网络控制器</w:t>
            </w:r>
          </w:p>
        </w:tc>
      </w:tr>
    </w:tbl>
    <w:p w14:paraId="4F2A1942">
      <w:pPr>
        <w:spacing w:line="91" w:lineRule="auto"/>
        <w:rPr>
          <w:rFonts w:ascii="Arial"/>
          <w:sz w:val="2"/>
        </w:rPr>
      </w:pPr>
    </w:p>
    <w:tbl>
      <w:tblPr>
        <w:tblStyle w:val="26"/>
        <w:tblW w:w="8303" w:type="dxa"/>
        <w:tblInd w:w="72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2129B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699" w:type="dxa"/>
          </w:tcPr>
          <w:p w14:paraId="3B89D333">
            <w:pPr>
              <w:spacing w:before="171" w:line="196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Xeon</w:t>
            </w:r>
            <w:r>
              <w:rPr>
                <w:rFonts w:ascii="Arial" w:hAnsi="Arial" w:eastAsia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Silver</w:t>
            </w:r>
          </w:p>
          <w:p w14:paraId="2DA860E4">
            <w:pPr>
              <w:spacing w:before="97" w:line="238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4210 2.2GHz</w:t>
            </w:r>
          </w:p>
        </w:tc>
        <w:tc>
          <w:tcPr>
            <w:tcW w:w="1674" w:type="dxa"/>
          </w:tcPr>
          <w:p w14:paraId="12ACD14E">
            <w:pPr>
              <w:spacing w:before="170" w:line="197" w:lineRule="auto"/>
              <w:ind w:left="11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32GB</w:t>
            </w:r>
            <w:r>
              <w:rPr>
                <w:rFonts w:ascii="Arial" w:hAnsi="Arial" w:eastAsia="Arial" w:cs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DDR4</w:t>
            </w:r>
          </w:p>
        </w:tc>
        <w:tc>
          <w:tcPr>
            <w:tcW w:w="1672" w:type="dxa"/>
          </w:tcPr>
          <w:p w14:paraId="1D38C1FB">
            <w:pPr>
              <w:spacing w:before="170" w:line="241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2.4TB</w:t>
            </w:r>
          </w:p>
        </w:tc>
        <w:tc>
          <w:tcPr>
            <w:tcW w:w="1627" w:type="dxa"/>
          </w:tcPr>
          <w:p w14:paraId="4AE10521">
            <w:pPr>
              <w:pStyle w:val="27"/>
              <w:spacing w:before="159" w:line="228" w:lineRule="auto"/>
              <w:ind w:left="110"/>
            </w:pPr>
            <w:r>
              <w:rPr>
                <w:spacing w:val="-1"/>
              </w:rPr>
              <w:t>机架式</w:t>
            </w:r>
          </w:p>
        </w:tc>
        <w:tc>
          <w:tcPr>
            <w:tcW w:w="1631" w:type="dxa"/>
          </w:tcPr>
          <w:p w14:paraId="2BA81A4D">
            <w:pPr>
              <w:pStyle w:val="27"/>
              <w:spacing w:before="159" w:line="228" w:lineRule="auto"/>
              <w:ind w:left="115"/>
            </w:pPr>
            <w:r>
              <w:rPr>
                <w:spacing w:val="-1"/>
              </w:rPr>
              <w:t>双千兆网卡</w:t>
            </w:r>
          </w:p>
        </w:tc>
      </w:tr>
    </w:tbl>
    <w:p w14:paraId="6D3FC54F">
      <w:pPr>
        <w:pStyle w:val="30"/>
        <w:bidi w:val="0"/>
      </w:pPr>
      <w:bookmarkStart w:id="12" w:name="_Toc2864"/>
      <w:r>
        <w:t>人员安排</w:t>
      </w:r>
      <w:bookmarkEnd w:id="12"/>
    </w:p>
    <w:p w14:paraId="330B46F8">
      <w:pPr>
        <w:pStyle w:val="31"/>
        <w:bidi w:val="0"/>
        <w:rPr>
          <w:rFonts w:hint="eastAsia"/>
          <w:lang w:val="en-US" w:eastAsia="zh-CN"/>
        </w:rPr>
      </w:pPr>
      <w:bookmarkStart w:id="13" w:name="_Toc23942"/>
      <w:r>
        <w:rPr>
          <w:rFonts w:hint="eastAsia"/>
          <w:lang w:val="en-US" w:eastAsia="zh-CN"/>
        </w:rPr>
        <w:t>运维项目经理</w:t>
      </w:r>
      <w:bookmarkEnd w:id="13"/>
    </w:p>
    <w:p w14:paraId="270C30A3">
      <w:pPr>
        <w:pStyle w:val="12"/>
        <w:spacing w:before="212" w:line="258" w:lineRule="auto"/>
        <w:ind w:left="734" w:right="387" w:hanging="706"/>
        <w:rPr>
          <w:spacing w:val="-10"/>
        </w:rPr>
      </w:pPr>
      <w:r>
        <w:rPr>
          <w:spacing w:val="1"/>
        </w:rPr>
        <w:t>负责整</w:t>
      </w:r>
      <w:r>
        <w:t>体项目的协调、管理和决策，确保项目按照计划顺利进</w:t>
      </w:r>
      <w:r>
        <w:rPr>
          <w:spacing w:val="-10"/>
        </w:rPr>
        <w:t>行。</w:t>
      </w:r>
    </w:p>
    <w:p w14:paraId="5C48B99B">
      <w:pPr>
        <w:pStyle w:val="31"/>
        <w:bidi w:val="0"/>
      </w:pPr>
      <w:bookmarkStart w:id="14" w:name="_Toc14740"/>
      <w:r>
        <w:t>运维</w:t>
      </w:r>
      <w:r>
        <w:rPr>
          <w:rFonts w:hint="eastAsia"/>
          <w:lang w:val="en-US" w:eastAsia="zh-CN"/>
        </w:rPr>
        <w:t>实施工程师</w:t>
      </w:r>
      <w:bookmarkEnd w:id="14"/>
      <w:r>
        <w:t xml:space="preserve"> </w:t>
      </w:r>
    </w:p>
    <w:p w14:paraId="34669D73">
      <w:pPr>
        <w:pStyle w:val="12"/>
        <w:spacing w:before="195" w:line="224" w:lineRule="auto"/>
        <w:ind w:left="7"/>
        <w:rPr>
          <w:spacing w:val="-1"/>
        </w:rPr>
      </w:pPr>
      <w:r>
        <w:t>负责扩容后的服务器日常运维工作，包括监控、故障</w:t>
      </w:r>
      <w:r>
        <w:rPr>
          <w:spacing w:val="-1"/>
        </w:rPr>
        <w:t>处理等。</w:t>
      </w:r>
    </w:p>
    <w:p w14:paraId="19316A1A">
      <w:pPr>
        <w:pStyle w:val="12"/>
        <w:spacing w:before="193" w:line="258" w:lineRule="auto"/>
        <w:ind w:left="733" w:right="106" w:hanging="722"/>
        <w:rPr>
          <w:spacing w:val="-10"/>
        </w:rPr>
      </w:pPr>
      <w:r>
        <w:rPr>
          <w:spacing w:val="-1"/>
        </w:rPr>
        <w:t>负责服务器的采购、安装、配置、调试等具体实施工</w:t>
      </w:r>
      <w:r>
        <w:rPr>
          <w:spacing w:val="-9"/>
        </w:rPr>
        <w:t>作。</w:t>
      </w:r>
    </w:p>
    <w:p w14:paraId="021E524F">
      <w:pPr>
        <w:pStyle w:val="31"/>
        <w:bidi w:val="0"/>
      </w:pPr>
      <w:bookmarkStart w:id="15" w:name="_Toc21732"/>
      <w:r>
        <w:t>测试</w:t>
      </w:r>
      <w:r>
        <w:rPr>
          <w:rFonts w:hint="eastAsia"/>
          <w:lang w:val="en-US" w:eastAsia="zh-CN"/>
        </w:rPr>
        <w:t>工程师</w:t>
      </w:r>
      <w:bookmarkEnd w:id="15"/>
      <w:r>
        <w:t xml:space="preserve"> </w:t>
      </w:r>
    </w:p>
    <w:p w14:paraId="027C5DE4">
      <w:pPr>
        <w:pStyle w:val="12"/>
        <w:spacing w:before="195" w:line="258" w:lineRule="auto"/>
        <w:ind w:left="734" w:right="166" w:hanging="720"/>
        <w:rPr>
          <w:spacing w:val="-1"/>
        </w:rPr>
      </w:pPr>
      <w:r>
        <w:t>负责在扩容完成后对服务器性能、系统稳定性等进行测试，确保达到</w:t>
      </w:r>
      <w:r>
        <w:rPr>
          <w:spacing w:val="-2"/>
        </w:rPr>
        <w:t>预期目标。</w:t>
      </w:r>
    </w:p>
    <w:p w14:paraId="2F84BBA9">
      <w:pPr>
        <w:pStyle w:val="30"/>
        <w:bidi w:val="0"/>
      </w:pPr>
      <w:bookmarkStart w:id="16" w:name="_Toc14971"/>
      <w:r>
        <w:t>时间计划</w:t>
      </w:r>
      <w:bookmarkEnd w:id="16"/>
    </w:p>
    <w:p w14:paraId="4005E5F1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扩容时间计划如表3-2所示。</w:t>
      </w:r>
    </w:p>
    <w:p w14:paraId="7967CCB1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/>
        </w:rPr>
      </w:pPr>
      <w:bookmarkStart w:id="25" w:name="_GoBack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</w:instrText>
      </w:r>
      <w:r>
        <w:rPr>
          <w:rFonts w:hint="eastAsia"/>
          <w:lang w:val="en-US" w:eastAsia="zh-CN"/>
        </w:rPr>
        <w:instrText xml:space="preserve">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扩容时间计划表</w:t>
      </w:r>
    </w:p>
    <w:bookmarkEnd w:id="25"/>
    <w:tbl>
      <w:tblPr>
        <w:tblStyle w:val="26"/>
        <w:tblW w:w="90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2178"/>
        <w:gridCol w:w="2361"/>
        <w:gridCol w:w="2368"/>
      </w:tblGrid>
      <w:tr w14:paraId="0B1A4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120" w:type="dxa"/>
          </w:tcPr>
          <w:p w14:paraId="6CDAA25B">
            <w:pPr>
              <w:pStyle w:val="27"/>
              <w:spacing w:before="218" w:line="228" w:lineRule="auto"/>
              <w:ind w:left="135"/>
            </w:pPr>
            <w:r>
              <w:rPr>
                <w:spacing w:val="-4"/>
              </w:rPr>
              <w:t>阶段</w:t>
            </w:r>
          </w:p>
        </w:tc>
        <w:tc>
          <w:tcPr>
            <w:tcW w:w="2178" w:type="dxa"/>
          </w:tcPr>
          <w:p w14:paraId="0E09F0D6">
            <w:pPr>
              <w:pStyle w:val="27"/>
              <w:spacing w:before="218" w:line="226" w:lineRule="auto"/>
              <w:ind w:left="132"/>
            </w:pPr>
            <w:r>
              <w:rPr>
                <w:spacing w:val="-3"/>
              </w:rPr>
              <w:t>工作内容</w:t>
            </w:r>
          </w:p>
        </w:tc>
        <w:tc>
          <w:tcPr>
            <w:tcW w:w="2361" w:type="dxa"/>
          </w:tcPr>
          <w:p w14:paraId="6AF77A9E">
            <w:pPr>
              <w:pStyle w:val="27"/>
              <w:spacing w:before="219" w:line="225" w:lineRule="auto"/>
              <w:ind w:left="126"/>
            </w:pPr>
            <w:r>
              <w:rPr>
                <w:spacing w:val="-1"/>
              </w:rPr>
              <w:t>计划开始时间</w:t>
            </w:r>
          </w:p>
        </w:tc>
        <w:tc>
          <w:tcPr>
            <w:tcW w:w="2368" w:type="dxa"/>
          </w:tcPr>
          <w:p w14:paraId="24078046">
            <w:pPr>
              <w:pStyle w:val="27"/>
              <w:spacing w:before="219" w:line="225" w:lineRule="auto"/>
              <w:ind w:left="127"/>
            </w:pPr>
            <w:r>
              <w:rPr>
                <w:spacing w:val="-1"/>
              </w:rPr>
              <w:t>计划完成时间</w:t>
            </w:r>
          </w:p>
        </w:tc>
      </w:tr>
      <w:tr w14:paraId="315028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2120" w:type="dxa"/>
          </w:tcPr>
          <w:p w14:paraId="1E6CE973">
            <w:pPr>
              <w:pStyle w:val="27"/>
              <w:spacing w:before="216" w:line="226" w:lineRule="auto"/>
              <w:ind w:left="129"/>
            </w:pPr>
            <w:r>
              <w:rPr>
                <w:spacing w:val="-2"/>
              </w:rPr>
              <w:t>准备阶段</w:t>
            </w:r>
          </w:p>
        </w:tc>
        <w:tc>
          <w:tcPr>
            <w:tcW w:w="2178" w:type="dxa"/>
          </w:tcPr>
          <w:p w14:paraId="1670347E">
            <w:pPr>
              <w:pStyle w:val="27"/>
              <w:spacing w:before="215" w:line="293" w:lineRule="auto"/>
              <w:ind w:left="130" w:right="294" w:hanging="3"/>
            </w:pPr>
            <w:r>
              <w:rPr>
                <w:spacing w:val="-2"/>
              </w:rPr>
              <w:t>环境检查、资源规划、人员安排等</w:t>
            </w:r>
          </w:p>
        </w:tc>
        <w:tc>
          <w:tcPr>
            <w:tcW w:w="2361" w:type="dxa"/>
          </w:tcPr>
          <w:p w14:paraId="75D05AA1">
            <w:pPr>
              <w:spacing w:before="226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.10</w:t>
            </w:r>
          </w:p>
        </w:tc>
        <w:tc>
          <w:tcPr>
            <w:tcW w:w="2368" w:type="dxa"/>
          </w:tcPr>
          <w:p w14:paraId="26273721">
            <w:pPr>
              <w:spacing w:before="226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.10</w:t>
            </w:r>
          </w:p>
        </w:tc>
      </w:tr>
      <w:tr w14:paraId="4C977C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120" w:type="dxa"/>
          </w:tcPr>
          <w:p w14:paraId="4048F31B">
            <w:pPr>
              <w:pStyle w:val="27"/>
              <w:spacing w:before="216" w:line="228" w:lineRule="auto"/>
              <w:ind w:left="128"/>
            </w:pPr>
            <w:r>
              <w:rPr>
                <w:spacing w:val="-2"/>
              </w:rPr>
              <w:t>采购阶段</w:t>
            </w:r>
          </w:p>
        </w:tc>
        <w:tc>
          <w:tcPr>
            <w:tcW w:w="2178" w:type="dxa"/>
          </w:tcPr>
          <w:p w14:paraId="700AF8A0">
            <w:pPr>
              <w:pStyle w:val="27"/>
              <w:spacing w:before="217" w:line="293" w:lineRule="auto"/>
              <w:ind w:left="140" w:right="294" w:hanging="17"/>
            </w:pPr>
            <w:r>
              <w:rPr>
                <w:spacing w:val="-1"/>
              </w:rPr>
              <w:t>服务器及相关设备</w:t>
            </w:r>
            <w:r>
              <w:rPr>
                <w:spacing w:val="-5"/>
              </w:rPr>
              <w:t>的采购</w:t>
            </w:r>
          </w:p>
        </w:tc>
        <w:tc>
          <w:tcPr>
            <w:tcW w:w="2361" w:type="dxa"/>
          </w:tcPr>
          <w:p w14:paraId="4A163E63">
            <w:pPr>
              <w:spacing w:before="227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.15</w:t>
            </w:r>
          </w:p>
        </w:tc>
        <w:tc>
          <w:tcPr>
            <w:tcW w:w="2368" w:type="dxa"/>
          </w:tcPr>
          <w:p w14:paraId="56D374C8">
            <w:pPr>
              <w:spacing w:before="227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.18</w:t>
            </w:r>
          </w:p>
        </w:tc>
      </w:tr>
      <w:tr w14:paraId="593E07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2120" w:type="dxa"/>
          </w:tcPr>
          <w:p w14:paraId="3C057AB2">
            <w:pPr>
              <w:pStyle w:val="27"/>
              <w:spacing w:before="218" w:line="226" w:lineRule="auto"/>
              <w:ind w:left="137"/>
            </w:pPr>
            <w:r>
              <w:rPr>
                <w:spacing w:val="-3"/>
              </w:rPr>
              <w:t>实施阶段</w:t>
            </w:r>
          </w:p>
        </w:tc>
        <w:tc>
          <w:tcPr>
            <w:tcW w:w="2178" w:type="dxa"/>
          </w:tcPr>
          <w:p w14:paraId="5413421A">
            <w:pPr>
              <w:pStyle w:val="27"/>
              <w:spacing w:before="218" w:line="293" w:lineRule="auto"/>
              <w:ind w:left="130" w:right="513" w:hanging="7"/>
            </w:pPr>
            <w:r>
              <w:rPr>
                <w:spacing w:val="-1"/>
              </w:rPr>
              <w:t>服务器安装、配</w:t>
            </w:r>
            <w:r>
              <w:rPr>
                <w:spacing w:val="-3"/>
              </w:rPr>
              <w:t>置、调试等</w:t>
            </w:r>
          </w:p>
        </w:tc>
        <w:tc>
          <w:tcPr>
            <w:tcW w:w="2361" w:type="dxa"/>
          </w:tcPr>
          <w:p w14:paraId="214C1116">
            <w:pPr>
              <w:spacing w:before="228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.20</w:t>
            </w:r>
          </w:p>
        </w:tc>
        <w:tc>
          <w:tcPr>
            <w:tcW w:w="2368" w:type="dxa"/>
          </w:tcPr>
          <w:p w14:paraId="79B2D9A5">
            <w:pPr>
              <w:spacing w:before="228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.21</w:t>
            </w:r>
          </w:p>
        </w:tc>
      </w:tr>
      <w:tr w14:paraId="115BF7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120" w:type="dxa"/>
          </w:tcPr>
          <w:p w14:paraId="09F3F513">
            <w:pPr>
              <w:pStyle w:val="27"/>
              <w:spacing w:before="218" w:line="227" w:lineRule="auto"/>
              <w:ind w:left="130"/>
            </w:pPr>
            <w:r>
              <w:rPr>
                <w:spacing w:val="-2"/>
              </w:rPr>
              <w:t>测试阶段</w:t>
            </w:r>
          </w:p>
        </w:tc>
        <w:tc>
          <w:tcPr>
            <w:tcW w:w="2178" w:type="dxa"/>
          </w:tcPr>
          <w:p w14:paraId="0A4626E4">
            <w:pPr>
              <w:pStyle w:val="27"/>
              <w:spacing w:before="218" w:line="294" w:lineRule="auto"/>
              <w:ind w:left="127" w:right="294" w:firstLine="3"/>
            </w:pPr>
            <w:r>
              <w:rPr>
                <w:spacing w:val="-2"/>
              </w:rPr>
              <w:t>性能测试、稳定性测试等</w:t>
            </w:r>
          </w:p>
        </w:tc>
        <w:tc>
          <w:tcPr>
            <w:tcW w:w="2361" w:type="dxa"/>
          </w:tcPr>
          <w:p w14:paraId="05B7628E">
            <w:pPr>
              <w:spacing w:before="229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.22</w:t>
            </w:r>
          </w:p>
        </w:tc>
        <w:tc>
          <w:tcPr>
            <w:tcW w:w="2368" w:type="dxa"/>
          </w:tcPr>
          <w:p w14:paraId="686DDB8F">
            <w:pPr>
              <w:spacing w:before="229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.28</w:t>
            </w:r>
          </w:p>
        </w:tc>
      </w:tr>
      <w:tr w14:paraId="372773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120" w:type="dxa"/>
          </w:tcPr>
          <w:p w14:paraId="1260E199">
            <w:pPr>
              <w:pStyle w:val="27"/>
              <w:spacing w:before="218" w:line="228" w:lineRule="auto"/>
              <w:ind w:left="126"/>
            </w:pPr>
            <w:r>
              <w:rPr>
                <w:spacing w:val="-1"/>
              </w:rPr>
              <w:t>验收阶段</w:t>
            </w:r>
          </w:p>
        </w:tc>
        <w:tc>
          <w:tcPr>
            <w:tcW w:w="2178" w:type="dxa"/>
          </w:tcPr>
          <w:p w14:paraId="4AF6B784">
            <w:pPr>
              <w:pStyle w:val="27"/>
              <w:spacing w:before="219" w:line="226" w:lineRule="auto"/>
              <w:ind w:left="125"/>
            </w:pPr>
            <w:r>
              <w:rPr>
                <w:spacing w:val="-1"/>
              </w:rPr>
              <w:t>项目验收及总结</w:t>
            </w:r>
          </w:p>
        </w:tc>
        <w:tc>
          <w:tcPr>
            <w:tcW w:w="2361" w:type="dxa"/>
          </w:tcPr>
          <w:p w14:paraId="41B35CF2">
            <w:pPr>
              <w:spacing w:before="229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.29</w:t>
            </w:r>
          </w:p>
        </w:tc>
        <w:tc>
          <w:tcPr>
            <w:tcW w:w="2368" w:type="dxa"/>
          </w:tcPr>
          <w:p w14:paraId="0217B6B5">
            <w:pPr>
              <w:spacing w:before="229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.31</w:t>
            </w:r>
          </w:p>
        </w:tc>
      </w:tr>
    </w:tbl>
    <w:p w14:paraId="2DBBB00E">
      <w:pPr>
        <w:pStyle w:val="28"/>
        <w:bidi w:val="0"/>
      </w:pPr>
      <w:bookmarkStart w:id="17" w:name="_Toc20821"/>
      <w:r>
        <w:t>实施步骤</w:t>
      </w:r>
      <w:bookmarkEnd w:id="17"/>
    </w:p>
    <w:p w14:paraId="5B7FF728">
      <w:pPr>
        <w:pStyle w:val="30"/>
        <w:bidi w:val="0"/>
      </w:pPr>
      <w:bookmarkStart w:id="18" w:name="_Toc11098"/>
      <w:r>
        <w:t>服务器采购与到货验收</w:t>
      </w:r>
      <w:bookmarkEnd w:id="18"/>
    </w:p>
    <w:p w14:paraId="5E5E35C6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根据资源规划确定的服务器配置和数量，进行采购。选择信誉良好的供应商，并签订采购合同，明确设备的规格、价格、交货时间、售后服务等条款。</w:t>
      </w:r>
    </w:p>
    <w:p w14:paraId="344B86AE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设备到货后，组织技术人员进行验收。检查设备的外观是否完好，配件是否齐全，型号和配置是否与采购合同一致。同时，进行通电测试，确保设备能够正常启动。</w:t>
      </w:r>
    </w:p>
    <w:p w14:paraId="1B5093B9">
      <w:pPr>
        <w:pStyle w:val="30"/>
        <w:bidi w:val="0"/>
      </w:pPr>
      <w:bookmarkStart w:id="19" w:name="_Toc8510"/>
      <w:r>
        <w:t>服务器安装与部署</w:t>
      </w:r>
      <w:bookmarkEnd w:id="19"/>
    </w:p>
    <w:p w14:paraId="389CD4C4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t>将新增服务器放置在指定的机房位置，连接好电源、网络等线路。确保服务器的安装环境符合要求，如温度、湿度、防尘等。</w:t>
      </w:r>
    </w:p>
    <w:p w14:paraId="582BC65A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t>安装操作系统，根据业务需求选择合适的操作系统版本，并进行必要的配置，如网络设置、防火墙设置等。</w:t>
      </w:r>
    </w:p>
    <w:p w14:paraId="56932E3B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t>安装数据库、中间件等必要的软件，并进行配置，确保软件能够正常运行，且与现有系统兼容。</w:t>
      </w:r>
    </w:p>
    <w:p w14:paraId="69C84730">
      <w:pPr>
        <w:pStyle w:val="30"/>
        <w:bidi w:val="0"/>
      </w:pPr>
      <w:bookmarkStart w:id="20" w:name="_Toc21671"/>
      <w:r>
        <w:t>系统测试与调试</w:t>
      </w:r>
      <w:bookmarkEnd w:id="20"/>
    </w:p>
    <w:p w14:paraId="7E2EF509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性能测试：通过模拟大量并发请求，测试服务器的处理能力、响应时间等性能指标，确保达到扩容目标的要求。</w:t>
      </w:r>
    </w:p>
    <w:p w14:paraId="2E23F2A3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稳定性测试：长时间运行系统，监控服务器的运行状态，检查是否出现故障或异常情况，确保系统的稳定性和可靠性。</w:t>
      </w:r>
    </w:p>
    <w:p w14:paraId="11C86BC6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兼容性测试：测试新增服务器与现有系统、软件、硬件等的兼容性，确保系统能够正常协同工作。</w:t>
      </w:r>
    </w:p>
    <w:p w14:paraId="093F0E56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根据测试结果，对服务器配置、负载均衡策略等进行调试和优化，直至系统达到最佳运行状态。</w:t>
      </w:r>
    </w:p>
    <w:p w14:paraId="1781A3AD">
      <w:pPr>
        <w:pStyle w:val="28"/>
        <w:bidi w:val="0"/>
      </w:pPr>
      <w:bookmarkStart w:id="21" w:name="_Toc22620"/>
      <w:r>
        <w:t>验收与总结</w:t>
      </w:r>
      <w:bookmarkEnd w:id="21"/>
    </w:p>
    <w:p w14:paraId="730837F8">
      <w:pPr>
        <w:pStyle w:val="30"/>
        <w:bidi w:val="0"/>
      </w:pPr>
      <w:bookmarkStart w:id="22" w:name="_Toc7134"/>
      <w:r>
        <w:t>验收标准</w:t>
      </w:r>
      <w:bookmarkEnd w:id="22"/>
    </w:p>
    <w:p w14:paraId="008F2308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服务器性能：系统能够顺畅处理10路视频转码并发请求，每一路响应时间在3秒以内。</w:t>
      </w:r>
    </w:p>
    <w:p w14:paraId="17A3BD01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系统稳定性：连续运行5天以上，无故障发生。</w:t>
      </w:r>
    </w:p>
    <w:p w14:paraId="7309F7DA">
      <w:pPr>
        <w:pStyle w:val="30"/>
        <w:bidi w:val="0"/>
      </w:pPr>
      <w:bookmarkStart w:id="23" w:name="_Toc11300"/>
      <w:r>
        <w:t>验收流程</w:t>
      </w:r>
      <w:bookmarkEnd w:id="23"/>
    </w:p>
    <w:p w14:paraId="6022EEEA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由</w:t>
      </w:r>
      <w:r>
        <w:rPr>
          <w:rFonts w:hint="eastAsia"/>
          <w:lang w:val="en-US" w:eastAsia="zh-CN"/>
        </w:rPr>
        <w:t>运维项目经理</w:t>
      </w:r>
      <w:r>
        <w:t>组织相关人员（包括技术</w:t>
      </w:r>
      <w:r>
        <w:rPr>
          <w:rFonts w:hint="eastAsia"/>
          <w:lang w:val="en-US" w:eastAsia="zh-CN"/>
        </w:rPr>
        <w:t>运维</w:t>
      </w:r>
      <w:r>
        <w:t>实施</w:t>
      </w:r>
      <w:r>
        <w:rPr>
          <w:rFonts w:hint="eastAsia"/>
          <w:lang w:val="en-US" w:eastAsia="zh-CN"/>
        </w:rPr>
        <w:t>工程师</w:t>
      </w:r>
      <w:r>
        <w:t>、测试</w:t>
      </w:r>
      <w:r>
        <w:rPr>
          <w:rFonts w:hint="eastAsia"/>
          <w:lang w:val="en-US" w:eastAsia="zh-CN"/>
        </w:rPr>
        <w:t>工程师</w:t>
      </w:r>
      <w:r>
        <w:t>等）进行验收。</w:t>
      </w:r>
    </w:p>
    <w:p w14:paraId="73FC8D4E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按照验收标准对服务器性能、系统稳定性、数据完整性等进行检查和测试。</w:t>
      </w:r>
    </w:p>
    <w:p w14:paraId="755842CD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检查相关文档是否完整、规范。</w:t>
      </w:r>
    </w:p>
    <w:p w14:paraId="6CD122D5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如验收通过，签署验收报告；如验收不通过，提出整改意见，限期整改后重新验收。</w:t>
      </w:r>
    </w:p>
    <w:p w14:paraId="135DF5DB">
      <w:pPr>
        <w:pStyle w:val="30"/>
        <w:bidi w:val="0"/>
      </w:pPr>
      <w:bookmarkStart w:id="24" w:name="_Toc22243"/>
      <w:r>
        <w:t>项目总结</w:t>
      </w:r>
      <w:bookmarkEnd w:id="24"/>
    </w:p>
    <w:p w14:paraId="13081873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对项目实施过程进行总结，包括成功经验、存在的问题及改进措施等。</w:t>
      </w:r>
    </w:p>
    <w:p w14:paraId="70085712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对项目的成本、进度等进行分析和评估，为今后类似项目提供参考。</w:t>
      </w:r>
    </w:p>
    <w:p w14:paraId="335FD80E">
      <w:pPr>
        <w:pStyle w:val="41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将项目相关文档进行整理和归档，便于查阅和管理。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31917C"/>
    <w:multiLevelType w:val="singleLevel"/>
    <w:tmpl w:val="C53191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6FD60F"/>
    <w:multiLevelType w:val="singleLevel"/>
    <w:tmpl w:val="C96FD6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C6B77F0"/>
    <w:multiLevelType w:val="singleLevel"/>
    <w:tmpl w:val="EC6B77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C0386A"/>
    <w:multiLevelType w:val="singleLevel"/>
    <w:tmpl w:val="EFC03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17325F2"/>
    <w:multiLevelType w:val="singleLevel"/>
    <w:tmpl w:val="F17325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AB0E7A"/>
    <w:multiLevelType w:val="singleLevel"/>
    <w:tmpl w:val="F6AB0E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B989647"/>
    <w:multiLevelType w:val="singleLevel"/>
    <w:tmpl w:val="0B9896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5C4EE8"/>
    <w:multiLevelType w:val="singleLevel"/>
    <w:tmpl w:val="2A5C4E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9E30DBB"/>
    <w:multiLevelType w:val="singleLevel"/>
    <w:tmpl w:val="39E30D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58CF9C6"/>
    <w:multiLevelType w:val="singleLevel"/>
    <w:tmpl w:val="458CF9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4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2E78"/>
    <w:rsid w:val="00BA7CA7"/>
    <w:rsid w:val="0264611C"/>
    <w:rsid w:val="03DE3CAC"/>
    <w:rsid w:val="03EA2651"/>
    <w:rsid w:val="06206A3C"/>
    <w:rsid w:val="070659F4"/>
    <w:rsid w:val="08813DD3"/>
    <w:rsid w:val="099472E7"/>
    <w:rsid w:val="0A586566"/>
    <w:rsid w:val="108035B1"/>
    <w:rsid w:val="10BB33AB"/>
    <w:rsid w:val="110B5554"/>
    <w:rsid w:val="11FF19BD"/>
    <w:rsid w:val="15DA0777"/>
    <w:rsid w:val="17204E58"/>
    <w:rsid w:val="1844637C"/>
    <w:rsid w:val="18CB4F16"/>
    <w:rsid w:val="1BD73063"/>
    <w:rsid w:val="1D2D5631"/>
    <w:rsid w:val="1E917E41"/>
    <w:rsid w:val="23FA0237"/>
    <w:rsid w:val="253D769B"/>
    <w:rsid w:val="25C7239A"/>
    <w:rsid w:val="26F92A28"/>
    <w:rsid w:val="272A0E33"/>
    <w:rsid w:val="278F2208"/>
    <w:rsid w:val="27FF7BCA"/>
    <w:rsid w:val="2BD15D21"/>
    <w:rsid w:val="2D5327CF"/>
    <w:rsid w:val="2E72752F"/>
    <w:rsid w:val="2E9279E9"/>
    <w:rsid w:val="2F8541A9"/>
    <w:rsid w:val="331C1259"/>
    <w:rsid w:val="39795389"/>
    <w:rsid w:val="3A2D4A6A"/>
    <w:rsid w:val="3A8915DF"/>
    <w:rsid w:val="3B351E28"/>
    <w:rsid w:val="3FFA53EF"/>
    <w:rsid w:val="42036E22"/>
    <w:rsid w:val="44961259"/>
    <w:rsid w:val="451231DA"/>
    <w:rsid w:val="482A48B6"/>
    <w:rsid w:val="487321E2"/>
    <w:rsid w:val="4B731607"/>
    <w:rsid w:val="4BB072A9"/>
    <w:rsid w:val="4BE17463"/>
    <w:rsid w:val="5023629C"/>
    <w:rsid w:val="533F163E"/>
    <w:rsid w:val="546926EB"/>
    <w:rsid w:val="55515659"/>
    <w:rsid w:val="56CD0D0F"/>
    <w:rsid w:val="56DE0AFD"/>
    <w:rsid w:val="581F37ED"/>
    <w:rsid w:val="583062CE"/>
    <w:rsid w:val="59B00317"/>
    <w:rsid w:val="5A951B44"/>
    <w:rsid w:val="5B433C96"/>
    <w:rsid w:val="5C3D6937"/>
    <w:rsid w:val="5C875E04"/>
    <w:rsid w:val="5CA40CE0"/>
    <w:rsid w:val="5CC2508E"/>
    <w:rsid w:val="60F90953"/>
    <w:rsid w:val="62D022B3"/>
    <w:rsid w:val="65091AAC"/>
    <w:rsid w:val="655B1BDC"/>
    <w:rsid w:val="67E047E8"/>
    <w:rsid w:val="68363CFA"/>
    <w:rsid w:val="6A882277"/>
    <w:rsid w:val="6E645FA5"/>
    <w:rsid w:val="6FC7059A"/>
    <w:rsid w:val="72CC236B"/>
    <w:rsid w:val="76684159"/>
    <w:rsid w:val="77F57C6E"/>
    <w:rsid w:val="7832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1877</Words>
  <Characters>2135</Characters>
  <Lines>0</Lines>
  <Paragraphs>0</Paragraphs>
  <TotalTime>0</TotalTime>
  <ScaleCrop>false</ScaleCrop>
  <LinksUpToDate>false</LinksUpToDate>
  <CharactersWithSpaces>2238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2025-12-27T10:36:03Z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