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5951D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06</w:t>
      </w:r>
      <w:bookmarkStart w:id="3" w:name="_GoBack"/>
      <w:bookmarkEnd w:id="3"/>
    </w:p>
    <w:p w14:paraId="0ED11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C68BE67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2278"/>
      <w:bookmarkStart w:id="1" w:name="_Toc15274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3F0506D4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 w:eastAsia="黑体"/>
          <w:lang w:val="en-US" w:eastAsia="zh-CN"/>
        </w:rPr>
      </w:pPr>
      <w:r>
        <w:rPr>
          <w:rFonts w:hint="default"/>
          <w:lang w:val="en-US"/>
        </w:rPr>
        <w:t>烟台林海嵎峡田综合体智慧农业大数据平台建设项目</w:t>
      </w:r>
      <w:r>
        <w:rPr>
          <w:rFonts w:hint="eastAsia"/>
          <w:lang w:val="en-US" w:eastAsia="zh-CN"/>
        </w:rPr>
        <w:t>信息安全管理计划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5539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F66E39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7F1F212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2025.01.20</w:t>
            </w:r>
          </w:p>
        </w:tc>
      </w:tr>
      <w:tr w14:paraId="0FDE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87148F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CAACD3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2025.01.20</w:t>
            </w:r>
          </w:p>
        </w:tc>
      </w:tr>
      <w:tr w14:paraId="7D879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FD5681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A3063B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2025.01.20</w:t>
            </w:r>
          </w:p>
        </w:tc>
      </w:tr>
    </w:tbl>
    <w:p w14:paraId="7E5347C6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5341D9AB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65B8C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8E710A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48E594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C7B5D6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DF94AA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05B100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290C3E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37A5A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05E0B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13A0FED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743553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1402CC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0503D99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36400212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36400212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6A14A5F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45043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44AC9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9F7A4C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2E16C8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7FA309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15787B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ACC5D2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F9D76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E4FB85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510B4C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3B652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63C2F9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10EE64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D66451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517E8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819655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329C7B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5EA11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64F77F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6733F2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664776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0796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90AA0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BECD39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F1C8BD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844696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C0C72A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F8BB35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EE61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5A2D1E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F4EDC3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A3995A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7DB343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498C7F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CE7DCC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6F49877B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8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BEAA39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2971D2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_Toc15274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_Toc15274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A64399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可用性计划</w:t>
          </w:r>
          <w:r>
            <w:tab/>
          </w:r>
          <w:r>
            <w:fldChar w:fldCharType="begin"/>
          </w:r>
          <w:r>
            <w:instrText xml:space="preserve"> PAGEREF _Toc24508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DF1E31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_Toc4056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_Toc4056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1B1AD5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_Toc13304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09F6B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_Toc19945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B6757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_Toc16918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DB4DB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_Toc24771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2ED3D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可用性工作实施</w:t>
          </w:r>
          <w:r>
            <w:tab/>
          </w:r>
          <w:r>
            <w:fldChar w:fldCharType="begin"/>
          </w:r>
          <w:r>
            <w:instrText xml:space="preserve"> PAGEREF _Toc3983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ED0C8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可用性需求</w:t>
          </w:r>
          <w:r>
            <w:tab/>
          </w:r>
          <w:r>
            <w:fldChar w:fldCharType="begin"/>
          </w:r>
          <w:r>
            <w:instrText xml:space="preserve"> PAGEREF _Toc11618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C7149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检测、维护及恢复方案</w:t>
          </w:r>
          <w:r>
            <w:tab/>
          </w:r>
          <w:r>
            <w:fldChar w:fldCharType="begin"/>
          </w:r>
          <w:r>
            <w:instrText xml:space="preserve"> PAGEREF _Toc13621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19597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日常维护方案</w:t>
          </w:r>
          <w:r>
            <w:tab/>
          </w:r>
          <w:r>
            <w:fldChar w:fldCharType="begin"/>
          </w:r>
          <w:r>
            <w:instrText xml:space="preserve"> PAGEREF _Toc6668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39B01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系统恢复方案</w:t>
          </w:r>
          <w:r>
            <w:tab/>
          </w:r>
          <w:r>
            <w:fldChar w:fldCharType="begin"/>
          </w:r>
          <w:r>
            <w:instrText xml:space="preserve"> PAGEREF _Toc22019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4FCD04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计划的评审</w:t>
          </w:r>
          <w:r>
            <w:tab/>
          </w:r>
          <w:r>
            <w:fldChar w:fldCharType="begin"/>
          </w:r>
          <w:r>
            <w:instrText xml:space="preserve"> PAGEREF _Toc1112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7DBA15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_Toc11675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841276">
          <w:r>
            <w:fldChar w:fldCharType="end"/>
          </w:r>
        </w:p>
      </w:sdtContent>
    </w:sdt>
    <w:p w14:paraId="1076D464"/>
    <w:p w14:paraId="537FA3B9">
      <w:pPr>
        <w:keepLines w:val="0"/>
        <w:pageBreakBefore w:val="0"/>
        <w:widowControl w:val="0"/>
        <w:wordWrap/>
        <w:overflowPunct/>
        <w:bidi w:val="0"/>
        <w:rPr>
          <w:rFonts w:hint="eastAsia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0D051A9">
      <w:pPr>
        <w:pStyle w:val="28"/>
        <w:bidi w:val="0"/>
        <w:rPr>
          <w:rFonts w:hint="eastAsia"/>
          <w:lang w:val="en-US" w:eastAsia="zh-CN"/>
        </w:rPr>
      </w:pPr>
      <w:bookmarkStart w:id="2" w:name="bookmark14"/>
      <w:bookmarkEnd w:id="2"/>
      <w:r>
        <w:rPr>
          <w:rFonts w:hint="eastAsia"/>
          <w:lang w:val="en-US" w:eastAsia="zh-CN"/>
        </w:rPr>
        <w:t>计划概述与目标</w:t>
      </w:r>
    </w:p>
    <w:p w14:paraId="35BF814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“烟台林海嵎峡田综合体智慧农业大数据平台建设项目”（以下简称“本项目”）在实施、部署、运维全过程符合国家信息安全相关法律法规及甲方要求，有效保护项目涉及的硬件、软件、数据及业务系统的机密性、完整性和可用性，特制定本信息安全管理计划。</w:t>
      </w:r>
    </w:p>
    <w:p w14:paraId="3B1744AB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实施时间</w:t>
      </w:r>
    </w:p>
    <w:p w14:paraId="71F1338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2025年2月1日起，贯穿项目建设、验收及后续运维服务全周期。</w:t>
      </w:r>
    </w:p>
    <w:p w14:paraId="2B894E3B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适用范围</w:t>
      </w:r>
    </w:p>
    <w:p w14:paraId="6073CEF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本计划适用于项目相关全体人员，包括乙方（青岛瑞源工程集团有限公司）项目团队、分包方（如有）及与甲方（北京旗硕基业科技股份有限公司）协作人员。</w:t>
      </w:r>
    </w:p>
    <w:p w14:paraId="34D9B67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管理目标</w:t>
      </w:r>
    </w:p>
    <w:p w14:paraId="7D49D1EF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合规性：满足《中华人民共和国网络安全法》、《信息安全管理制度》《中华人民共和国数据安全法》、《中华人民共和国个人信息保护法》等法律法规及合同保密条款要求。</w:t>
      </w:r>
    </w:p>
    <w:p w14:paraId="38DD07A7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资产保护： 保障本项目所涉及的所有硬件设备（如摄像机、服务器、网络设备）、软件系统、应用程序及项目文档的安全。</w:t>
      </w:r>
    </w:p>
    <w:p w14:paraId="1CFE5453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数据安全： 确保项目采集、传输、存储、处理的农业数据、视频数据、管理数据等敏感信息的机密性、完整性和可用性。</w:t>
      </w:r>
    </w:p>
    <w:p w14:paraId="4B21F38F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风险可控： 识别、评估并有效控制项目实施与运营中潜在的物理、网络、系统和人为安全风险。</w:t>
      </w:r>
    </w:p>
    <w:p w14:paraId="53B8C952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安全角色与职责</w:t>
      </w:r>
    </w:p>
    <w:p w14:paraId="3D95CB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924"/>
        <w:gridCol w:w="6209"/>
      </w:tblGrid>
      <w:tr w14:paraId="2A4A5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C9E9AF">
            <w:pPr>
              <w:pStyle w:val="41"/>
              <w:bidi w:val="0"/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F240E3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单位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0F005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主要安全职责</w:t>
            </w:r>
          </w:p>
        </w:tc>
      </w:tr>
      <w:tr w14:paraId="3D90E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A32BED">
            <w:pPr>
              <w:pStyle w:val="4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运维项目经理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56CF62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乙方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656BCE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全面负责项目信息安全管理的规划、执行与监督；协调资源处置安全事件；向甲方及乙方管理层报告安全状况。</w:t>
            </w:r>
          </w:p>
        </w:tc>
      </w:tr>
      <w:tr w14:paraId="49194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91D532">
            <w:pPr>
              <w:pStyle w:val="4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运维工程师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D4F64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乙方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922BDE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负责网络架构安全、系统加固、漏洞扫描、渗透测试、安全配置实施及技术层面应急响应。</w:t>
            </w:r>
          </w:p>
        </w:tc>
      </w:tr>
      <w:tr w14:paraId="684F4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57DFD2">
            <w:pPr>
              <w:pStyle w:val="41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现场实施</w:t>
            </w:r>
            <w:r>
              <w:rPr>
                <w:rFonts w:hint="eastAsia"/>
                <w:lang w:val="en-US" w:eastAsia="zh-CN"/>
              </w:rPr>
              <w:t>人员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6BB940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乙方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38F2C6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负责设备安装、调试、布线等现场作业的物理安全、操作规范及人员管控；管理施工现场出入。</w:t>
            </w:r>
          </w:p>
        </w:tc>
      </w:tr>
      <w:tr w14:paraId="7618F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B7A12A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甲方安全对接人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11EF00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甲方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E0E8BB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审核安全计划与报告；提供必要的安全策略与访问权限要求；参与安全验收与审计。</w:t>
            </w:r>
          </w:p>
        </w:tc>
      </w:tr>
      <w:tr w14:paraId="1A16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CDB377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全体项目成员</w:t>
            </w:r>
          </w:p>
        </w:tc>
        <w:tc>
          <w:tcPr>
            <w:tcW w:w="9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45159C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各方</w:t>
            </w:r>
          </w:p>
        </w:tc>
        <w:tc>
          <w:tcPr>
            <w:tcW w:w="62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EE04DA">
            <w:pPr>
              <w:pStyle w:val="41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遵守信息安全制度与操作规程；报告发现的安全隐患或事件；参与安全培训。</w:t>
            </w:r>
          </w:p>
        </w:tc>
      </w:tr>
    </w:tbl>
    <w:p w14:paraId="5ABB900B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主要安全管理领域与措施</w:t>
      </w:r>
    </w:p>
    <w:p w14:paraId="2787FDA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物理与环境安全</w:t>
      </w:r>
    </w:p>
    <w:p w14:paraId="3A4C3F1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设备安全： 所有设备（服务器、交换机、磁盘阵列、摄像头等）在运输、仓储、安装过程中需有防盗窃、防破坏、防尘、防潮措施。数据中心、机房及设备间应配备门禁、监控及消防设施。</w:t>
      </w:r>
    </w:p>
    <w:p w14:paraId="47CB129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施工现场安全： 施工区域应进行必要隔离，实施人员登记，非授权人员不得接触核心设备与线缆。每日收工需清点设备、工具，关闭非必要电源。</w:t>
      </w:r>
    </w:p>
    <w:p w14:paraId="0CD15A5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访问控制：对项目核心区域（如网络中心、监控中心）实施严格的物理访问控制，记录访问日志。</w:t>
      </w:r>
    </w:p>
    <w:p w14:paraId="1442BB2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</w:t>
      </w:r>
    </w:p>
    <w:p w14:paraId="115EDCC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网络隔离与划分：根据业务需求，设计并实施安全的网络拓扑，将管理网络、视频专网、办公网络等进行逻辑或物理隔离。</w:t>
      </w:r>
    </w:p>
    <w:p w14:paraId="71C23B7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边界防护： 在关键网络边界部署防火墙，依据最小权限原则配置访问控制策略。所有网络设备（如H3C S7506X-S交换机、锐捷交换机）需更改默认口令，启用安全管理协议。</w:t>
      </w:r>
    </w:p>
    <w:p w14:paraId="038448D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安全监控：利用网络设备日志及可能的独立安全审计系统，对异常流量、非法访问尝试进行监控与告警。</w:t>
      </w:r>
    </w:p>
    <w:p w14:paraId="62FCE4D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无线安全： 若项目涉及无线网络（如视频会议、投屏），必须启用WPA3或WPA2企业级加密与认证。</w:t>
      </w:r>
    </w:p>
    <w:p w14:paraId="615CB304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系统与应用安全</w:t>
      </w:r>
    </w:p>
    <w:p w14:paraId="5E284A3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安全配置基线： 对所有服务器（如戴尔图形处理主机）、操作系统、数据库、中间件及应用程序（如大华AI布控系统、视频综合平台）进行安全加固，关闭不必要的端口与服务，安装防病毒软件并及时更新补丁。</w:t>
      </w:r>
    </w:p>
    <w:p w14:paraId="766B2A3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漏洞管理： 在系统部署前、交付前进行安全漏洞扫描与评估，对发现的中高风险漏洞必须在修复后方可上线。</w:t>
      </w:r>
    </w:p>
    <w:p w14:paraId="3C354E7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最小权限原则： 为所有系统账户、数据库账户分配完成其任务所需的最小权限。</w:t>
      </w:r>
    </w:p>
    <w:p w14:paraId="0BD4785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开发安全（如适用）：若涉及定制软件开发，需遵循安全开发生命周期（SDLC），对代码进行安全审查。</w:t>
      </w:r>
    </w:p>
    <w:p w14:paraId="00B309E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</w:t>
      </w:r>
    </w:p>
    <w:p w14:paraId="43DC83E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数据分类与标识： 对项目涉及的数据（如视频录像、农业传感数据、用户信息）进行分类分级（公开、内部、敏感、机密），并进行相应标识与管理。</w:t>
      </w:r>
    </w:p>
    <w:p w14:paraId="3C7D823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数据传输加密： 敏感数据在网络中传输时，须使用TLS/SSL、IPSec等加密协议进行保护。</w:t>
      </w:r>
    </w:p>
    <w:p w14:paraId="4B186DD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数据存储加密： 对存储在磁盘阵列、服务器硬盘上的敏感数据，根据其级别考虑采用存储加密或数据库字段加密。</w:t>
      </w:r>
    </w:p>
    <w:p w14:paraId="38F29F7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数据备份与恢复： 制定并测试关键系统和数据的备份策略，确保在故障或灾难时能及时恢复。备份数据的安全性应得到同等保护。</w:t>
      </w:r>
    </w:p>
    <w:p w14:paraId="61906F1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数据销毁： 明确项目结束或设备报废时，存储介质内数据的彻底销毁方法和流程。</w:t>
      </w:r>
    </w:p>
    <w:p w14:paraId="5CA22EC7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关键活动与时间安排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4612"/>
        <w:gridCol w:w="2521"/>
      </w:tblGrid>
      <w:tr w14:paraId="590AB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C698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时间阶段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060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主要安全活动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FE5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交付物/里程碑</w:t>
            </w:r>
          </w:p>
        </w:tc>
      </w:tr>
      <w:tr w14:paraId="7BDDA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D0DA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2025年2月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633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正式发布并宣贯本安全计划。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项目全体成员签署保密协议并完成首次安全培训。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完成初始安全风险评估，识别关键资产与威胁。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42DA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签署的保密协议记录。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培训记录。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初始风险评估报告。</w:t>
            </w:r>
          </w:p>
        </w:tc>
      </w:tr>
      <w:tr w14:paraId="16040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BE0D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2025年2月-项目实施期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1A7F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所有设备到货安全点验与存储。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现场施工物理安全管理（持续）。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网络与系统安全配置实施与核查。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数据安全策略（加密、备份）初步部署。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9D09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设备签收与检验记录。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安全配置核查清单。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系统与网络拓扑安全设计文档。</w:t>
            </w:r>
          </w:p>
        </w:tc>
      </w:tr>
      <w:tr w14:paraId="08DA4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16D2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系统部署完成至验收前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A79F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进行全面的系统安全测试与漏洞扫描。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修复发现的安全漏洞。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模拟应急演练（可选）。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整理并提交《系统安全交付报告》。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CF88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安全测试报告。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漏洞修复记录。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《系统安全交付报告》。</w:t>
            </w:r>
          </w:p>
        </w:tc>
      </w:tr>
      <w:tr w14:paraId="0C00F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C512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项目验收阶段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32C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将信息安全作为验收的必要组成部分，向甲方展示关键安全措施的实施情况。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F379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信息安全相关内容纳入整体《验收单》。</w:t>
            </w:r>
          </w:p>
        </w:tc>
      </w:tr>
      <w:tr w14:paraId="6B923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7BEE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运维服务期（三年质保期内）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D478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持续的安全监控与定期（如每季度）安全巡检。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定期更新系统和应用补丁。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处理新发现的安全威胁与事件。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每年进行一次全面安全复评。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9A61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安全巡检报告。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补丁更新记录。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安全事件处理记录。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年度安全评估报告。</w:t>
            </w:r>
          </w:p>
        </w:tc>
      </w:tr>
    </w:tbl>
    <w:p w14:paraId="2DAB0E8A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安全事件应急响应</w:t>
      </w:r>
    </w:p>
    <w:p w14:paraId="25C7827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定义与分级： 明确信息安全事件（如数据泄露、网络攻击、设备失窃、恶意软件感染）的等级（重大、较大、一般）。</w:t>
      </w:r>
    </w:p>
    <w:p w14:paraId="73DED3C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响应流程： 建立包含发现与报告、初步评估、遏制与处理、根因分析、恢复、总结改进的标准应急响应流程。</w:t>
      </w:r>
    </w:p>
    <w:p w14:paraId="2EBBAE6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沟通与报告： 事件发生后，必须按照既定流程及时向项目安全负责人和甲方安全对接人报告。重大事件需立即报告。</w:t>
      </w:r>
    </w:p>
    <w:p w14:paraId="622264AE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符合性检查与审计</w:t>
      </w:r>
    </w:p>
    <w:p w14:paraId="7CE9A4D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内部检查：乙方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定期（每月/每季度）对本计划的执行情况进行检查。</w:t>
      </w:r>
    </w:p>
    <w:p w14:paraId="3EEB95A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甲方审计：甲方有权依据合同要求，对本项目的安全管理和控制措施进行审计，乙方需予以配合并提供必要证据。</w:t>
      </w:r>
    </w:p>
    <w:p w14:paraId="6A09C49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持续改进：根据检查、审计及安全事件中发现的问题，持续更新和完善本安全管理计划及相关措施。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F1A55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D86B72B"/>
    <w:multiLevelType w:val="singleLevel"/>
    <w:tmpl w:val="5D86B7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72E78"/>
    <w:rsid w:val="00BA7CA7"/>
    <w:rsid w:val="0264611C"/>
    <w:rsid w:val="03DE3CAC"/>
    <w:rsid w:val="070659F4"/>
    <w:rsid w:val="099472E7"/>
    <w:rsid w:val="108035B1"/>
    <w:rsid w:val="10BB33AB"/>
    <w:rsid w:val="11FF19BD"/>
    <w:rsid w:val="15DA0777"/>
    <w:rsid w:val="17204E58"/>
    <w:rsid w:val="1844637C"/>
    <w:rsid w:val="18CB4F16"/>
    <w:rsid w:val="1D2D5631"/>
    <w:rsid w:val="1E917E41"/>
    <w:rsid w:val="23FA0237"/>
    <w:rsid w:val="253D769B"/>
    <w:rsid w:val="26F92A28"/>
    <w:rsid w:val="272A0E33"/>
    <w:rsid w:val="278F2208"/>
    <w:rsid w:val="27FF7BCA"/>
    <w:rsid w:val="2BD15D21"/>
    <w:rsid w:val="2E72752F"/>
    <w:rsid w:val="2E9279E9"/>
    <w:rsid w:val="2F8541A9"/>
    <w:rsid w:val="331C1259"/>
    <w:rsid w:val="39795389"/>
    <w:rsid w:val="3A2D4A6A"/>
    <w:rsid w:val="3A8915DF"/>
    <w:rsid w:val="3B351E28"/>
    <w:rsid w:val="3FFA53EF"/>
    <w:rsid w:val="42036E22"/>
    <w:rsid w:val="482A48B6"/>
    <w:rsid w:val="487321E2"/>
    <w:rsid w:val="4BB072A9"/>
    <w:rsid w:val="4BE17463"/>
    <w:rsid w:val="533F163E"/>
    <w:rsid w:val="546926EB"/>
    <w:rsid w:val="55515659"/>
    <w:rsid w:val="56CD0D0F"/>
    <w:rsid w:val="56DE0AFD"/>
    <w:rsid w:val="581F37ED"/>
    <w:rsid w:val="59B00317"/>
    <w:rsid w:val="5A951B44"/>
    <w:rsid w:val="5B433C96"/>
    <w:rsid w:val="5C3D6937"/>
    <w:rsid w:val="5C875E04"/>
    <w:rsid w:val="5CA40CE0"/>
    <w:rsid w:val="60F90953"/>
    <w:rsid w:val="62D022B3"/>
    <w:rsid w:val="65091AAC"/>
    <w:rsid w:val="655B1BDC"/>
    <w:rsid w:val="67E047E8"/>
    <w:rsid w:val="68363CFA"/>
    <w:rsid w:val="6A882277"/>
    <w:rsid w:val="6E645FA5"/>
    <w:rsid w:val="72CC236B"/>
    <w:rsid w:val="76684159"/>
    <w:rsid w:val="7832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2343</Words>
  <Characters>2496</Characters>
  <Lines>0</Lines>
  <Paragraphs>0</Paragraphs>
  <TotalTime>20</TotalTime>
  <ScaleCrop>false</ScaleCrop>
  <LinksUpToDate>false</LinksUpToDate>
  <CharactersWithSpaces>2594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2025-12-27T08:38:35Z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