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5951D"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07</w:t>
      </w:r>
    </w:p>
    <w:p w14:paraId="0ED11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4C68BE67">
      <w:pPr>
        <w:pStyle w:val="24"/>
        <w:keepLines w:val="0"/>
        <w:pageBreakBefore w:val="0"/>
        <w:widowControl w:val="0"/>
        <w:wordWrap/>
        <w:overflowPunct/>
        <w:bidi w:val="0"/>
      </w:pPr>
      <w:bookmarkStart w:id="0" w:name="_Toc22278"/>
      <w:bookmarkStart w:id="1" w:name="_Toc1623"/>
      <w:r>
        <w:rPr>
          <w:rFonts w:hint="eastAsia"/>
          <w:lang w:val="en-US" w:eastAsia="zh-CN"/>
        </w:rPr>
        <w:t>青岛瑞源工程集团有限公司</w:t>
      </w:r>
      <w:bookmarkEnd w:id="0"/>
      <w:bookmarkEnd w:id="1"/>
    </w:p>
    <w:p w14:paraId="3F0506D4">
      <w:pPr>
        <w:pStyle w:val="25"/>
        <w:keepLines w:val="0"/>
        <w:pageBreakBefore w:val="0"/>
        <w:widowControl w:val="0"/>
        <w:wordWrap/>
        <w:overflowPunct/>
        <w:bidi w:val="0"/>
        <w:rPr>
          <w:rFonts w:hint="default" w:eastAsia="黑体"/>
          <w:lang w:val="en-US" w:eastAsia="zh-CN"/>
        </w:rPr>
      </w:pPr>
      <w:bookmarkStart w:id="2" w:name="_Toc32476"/>
      <w:r>
        <w:rPr>
          <w:rFonts w:hint="default"/>
          <w:lang w:val="en-US"/>
        </w:rPr>
        <w:t>烟台林海嵎峡田综合体智慧农业大数据平台建设项目</w:t>
      </w:r>
      <w:r>
        <w:rPr>
          <w:rFonts w:hint="eastAsia"/>
          <w:lang w:val="en-US" w:eastAsia="zh-CN"/>
        </w:rPr>
        <w:t>信息安全管理报告</w:t>
      </w:r>
      <w:bookmarkEnd w:id="2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5539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7F66E399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 w14:paraId="7F1F2123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0FDE9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587148FB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fitText w:val="600" w:id="2128295368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fitText w:val="600" w:id="2128295368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4CAACD30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7D879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FD5681A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4A3063B5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</w:tbl>
    <w:p w14:paraId="7E5347C6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5341D9AB"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65B8C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8E710A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48E594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C7B5D6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DF94AA1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05B100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3290C3E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37A5A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E05E0B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0</w:t>
            </w:r>
          </w:p>
        </w:tc>
        <w:tc>
          <w:tcPr>
            <w:tcW w:w="919" w:type="dxa"/>
          </w:tcPr>
          <w:p w14:paraId="13A0FED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743553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1402CC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张秀才</w:t>
            </w:r>
          </w:p>
        </w:tc>
        <w:tc>
          <w:tcPr>
            <w:tcW w:w="1150" w:type="dxa"/>
          </w:tcPr>
          <w:p w14:paraId="0503D99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fitText w:val="600" w:id="136400212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600" w:id="136400212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6A14A5F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245043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D44AC9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09F7A4C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2E16C8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17FA309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15787B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4ACC5D2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0F9D76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E4FB85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7510B4C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83B652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463C2F9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10EE640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D66451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5517E8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819655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329C7B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85EA11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264F77F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56733F2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664776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607961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290AA0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BECD39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F1C8BD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844696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4C0C72A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F8BB35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2EE619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45A2D1E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F4EDC3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A3995A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67DB343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7498C7F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CE7DCC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6F49877B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5884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6BEAA39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6DE1DF2">
          <w:pPr>
            <w:pStyle w:val="16"/>
            <w:tabs>
              <w:tab w:val="right" w:leader="dot" w:pos="8306"/>
            </w:tabs>
          </w:pPr>
          <w:bookmarkStart w:id="18" w:name="_GoBack"/>
          <w:bookmarkEnd w:id="18"/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_Toc1623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_Toc1623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227386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_Toc32476 </w:instrText>
          </w:r>
          <w:r>
            <w:fldChar w:fldCharType="separate"/>
          </w:r>
          <w:r>
            <w:rPr>
              <w:rFonts w:hint="default"/>
              <w:lang w:val="en-US"/>
            </w:rPr>
            <w:t>烟台林海嵎峡田综合体智慧农业大数据平台建设项目</w:t>
          </w:r>
          <w:r>
            <w:rPr>
              <w:rFonts w:hint="eastAsia"/>
              <w:lang w:val="en-US" w:eastAsia="zh-CN"/>
            </w:rPr>
            <w:t>信息安全管理报告</w:t>
          </w:r>
          <w:r>
            <w:tab/>
          </w:r>
          <w:r>
            <w:fldChar w:fldCharType="begin"/>
          </w:r>
          <w:r>
            <w:instrText xml:space="preserve"> PAGEREF _Toc32476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BCE188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_Toc18416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报告摘要</w:t>
          </w:r>
          <w:r>
            <w:tab/>
          </w:r>
          <w:r>
            <w:fldChar w:fldCharType="begin"/>
          </w:r>
          <w:r>
            <w:instrText xml:space="preserve"> PAGEREF _Toc18416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AEB8B5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_Toc21112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安全治理与组织效能</w:t>
          </w:r>
          <w:r>
            <w:tab/>
          </w:r>
          <w:r>
            <w:fldChar w:fldCharType="begin"/>
          </w:r>
          <w:r>
            <w:instrText xml:space="preserve"> PAGEREF _Toc21112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AAE51B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_Toc18561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各领域安全措施实施成果</w:t>
          </w:r>
          <w:r>
            <w:tab/>
          </w:r>
          <w:r>
            <w:fldChar w:fldCharType="begin"/>
          </w:r>
          <w:r>
            <w:instrText xml:space="preserve"> PAGEREF _Toc18561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C7ABB3F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_Toc4275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物理与环境安全</w:t>
          </w:r>
          <w:r>
            <w:tab/>
          </w:r>
          <w:r>
            <w:fldChar w:fldCharType="begin"/>
          </w:r>
          <w:r>
            <w:instrText xml:space="preserve"> PAGEREF _Toc4275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9F9803D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_Toc14248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网络安全</w:t>
          </w:r>
          <w:r>
            <w:tab/>
          </w:r>
          <w:r>
            <w:fldChar w:fldCharType="begin"/>
          </w:r>
          <w:r>
            <w:instrText xml:space="preserve"> PAGEREF _Toc14248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11BE258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系统与应用安全</w:t>
          </w:r>
          <w:r>
            <w:tab/>
          </w:r>
          <w:r>
            <w:fldChar w:fldCharType="begin"/>
          </w:r>
          <w:r>
            <w:instrText xml:space="preserve"> PAGEREF _Toc2270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B6F857C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_Toc13553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数据安全</w:t>
          </w:r>
          <w:r>
            <w:tab/>
          </w:r>
          <w:r>
            <w:fldChar w:fldCharType="begin"/>
          </w:r>
          <w:r>
            <w:instrText xml:space="preserve"> PAGEREF _Toc13553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ACA6279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_Toc15305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3.5. 供应链与知识产权安全</w:t>
          </w:r>
          <w:r>
            <w:tab/>
          </w:r>
          <w:r>
            <w:fldChar w:fldCharType="begin"/>
          </w:r>
          <w:r>
            <w:instrText xml:space="preserve"> PAGEREF _Toc15305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93B3D3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_Toc1915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风险评估与动态管理</w:t>
          </w:r>
          <w:r>
            <w:tab/>
          </w:r>
          <w:r>
            <w:fldChar w:fldCharType="begin"/>
          </w:r>
          <w:r>
            <w:instrText xml:space="preserve"> PAGEREF _Toc1915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B1788B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_Toc16229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安全事件与应急响应</w:t>
          </w:r>
          <w:r>
            <w:tab/>
          </w:r>
          <w:r>
            <w:fldChar w:fldCharType="begin"/>
          </w:r>
          <w:r>
            <w:instrText xml:space="preserve"> PAGEREF _Toc16229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27602B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_Toc21402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符合性审计与验收准备</w:t>
          </w:r>
          <w:r>
            <w:tab/>
          </w:r>
          <w:r>
            <w:fldChar w:fldCharType="begin"/>
          </w:r>
          <w:r>
            <w:instrText xml:space="preserve"> PAGEREF _Toc21402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255AB3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_Toc31821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总结与运维期安全过渡计划</w:t>
          </w:r>
          <w:r>
            <w:tab/>
          </w:r>
          <w:r>
            <w:fldChar w:fldCharType="begin"/>
          </w:r>
          <w:r>
            <w:instrText xml:space="preserve"> PAGEREF _Toc31821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D2A65D1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_Toc18093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总体评价</w:t>
          </w:r>
          <w:r>
            <w:tab/>
          </w:r>
          <w:r>
            <w:fldChar w:fldCharType="begin"/>
          </w:r>
          <w:r>
            <w:instrText xml:space="preserve"> PAGEREF _Toc18093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116C155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后续重点工作（运维服务期）：</w:t>
          </w:r>
          <w:r>
            <w:tab/>
          </w:r>
          <w:r>
            <w:fldChar w:fldCharType="begin"/>
          </w:r>
          <w:r>
            <w:instrText xml:space="preserve"> PAGEREF _Toc31955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3841276">
          <w:r>
            <w:fldChar w:fldCharType="end"/>
          </w:r>
        </w:p>
      </w:sdtContent>
    </w:sdt>
    <w:p w14:paraId="1076D464"/>
    <w:p w14:paraId="537FA3B9">
      <w:pPr>
        <w:keepLines w:val="0"/>
        <w:pageBreakBefore w:val="0"/>
        <w:widowControl w:val="0"/>
        <w:wordWrap/>
        <w:overflowPunct/>
        <w:bidi w:val="0"/>
        <w:rPr>
          <w:rFonts w:hint="eastAsia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8958A0B">
      <w:pPr>
        <w:pStyle w:val="28"/>
        <w:bidi w:val="0"/>
        <w:rPr>
          <w:rFonts w:hint="default"/>
          <w:lang w:val="en-US" w:eastAsia="zh-CN"/>
        </w:rPr>
      </w:pPr>
      <w:bookmarkStart w:id="3" w:name="bookmark14"/>
      <w:bookmarkEnd w:id="3"/>
      <w:bookmarkStart w:id="4" w:name="_Toc18416"/>
      <w:r>
        <w:rPr>
          <w:rFonts w:hint="default"/>
          <w:lang w:val="en-US" w:eastAsia="zh-CN"/>
        </w:rPr>
        <w:t>报告摘要</w:t>
      </w:r>
      <w:bookmarkEnd w:id="4"/>
    </w:p>
    <w:p w14:paraId="4EFD465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全面总结“烟台林海嵎峡田综合体智慧农业大数据平台建设项目”自2025年2月启动至2025年10月底，为期九个月的信息安全管理工作。项目组严格遵循既定《信息安全管理计划》及合同相关条款，系统性地构建并持续优化了项目信息安全体系。截至报告期末，项目已顺利完成系统部署、集成测试及初步试运行，所有关键安全控制措施均已落地并验证有效，未发生任何重大信息安全事件，全面满足项目验收的安全前提条件，并为即将开始的三年运维服务期奠定了坚实的安全运维基础。</w:t>
      </w:r>
    </w:p>
    <w:p w14:paraId="2EFAFE6B">
      <w:pPr>
        <w:pStyle w:val="28"/>
        <w:bidi w:val="0"/>
        <w:rPr>
          <w:rFonts w:hint="default"/>
          <w:lang w:val="en-US" w:eastAsia="zh-CN"/>
        </w:rPr>
      </w:pPr>
      <w:bookmarkStart w:id="5" w:name="_Toc21112"/>
      <w:r>
        <w:rPr>
          <w:rFonts w:hint="default"/>
          <w:lang w:val="en-US" w:eastAsia="zh-CN"/>
        </w:rPr>
        <w:t>安全治理与组织效能</w:t>
      </w:r>
      <w:bookmarkEnd w:id="5"/>
    </w:p>
    <w:p w14:paraId="079D4EE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项目建立了高效、权责清晰的安全管理组织，并随项目阶段动态调整重心</w:t>
      </w:r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3"/>
        <w:gridCol w:w="7481"/>
      </w:tblGrid>
      <w:tr w14:paraId="25525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4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A22D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角色</w:t>
            </w:r>
          </w:p>
        </w:tc>
        <w:tc>
          <w:tcPr>
            <w:tcW w:w="748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214A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履行情况总结（截至10月）</w:t>
            </w:r>
          </w:p>
        </w:tc>
      </w:tr>
      <w:tr w14:paraId="69E47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107D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</w:t>
            </w:r>
          </w:p>
        </w:tc>
        <w:tc>
          <w:tcPr>
            <w:tcW w:w="748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B81C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全程主持安全战略，组织召开季度安全评审会2次，月度安全检查8次，成功协调处理所有跨部门安全问题，确保安全与项目进度同步。</w:t>
            </w:r>
          </w:p>
        </w:tc>
      </w:tr>
      <w:tr w14:paraId="4CE09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ACEE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运维工程师</w:t>
            </w:r>
          </w:p>
        </w:tc>
        <w:tc>
          <w:tcPr>
            <w:tcW w:w="748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DC40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完成了从架构设计、实施加固到最终渗透测试的全周期技术安全保障。累计输出安全配置文档12份，漏洞修复报告5份，是技术防线的核心力量。</w:t>
            </w:r>
          </w:p>
        </w:tc>
      </w:tr>
      <w:tr w14:paraId="10870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B6AF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现场实施</w:t>
            </w: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人员</w:t>
            </w:r>
          </w:p>
        </w:tc>
        <w:tc>
          <w:tcPr>
            <w:tcW w:w="748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6434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在设备安装、线缆铺设、机房建设等高峰期（3-7月），严格落实物理安全管控，实现了施工期间“零物理安全事故、零设备遗失”的目标。</w:t>
            </w:r>
          </w:p>
        </w:tc>
      </w:tr>
      <w:tr w14:paraId="41EFE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6E92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甲方安全对接人</w:t>
            </w:r>
          </w:p>
        </w:tc>
        <w:tc>
          <w:tcPr>
            <w:tcW w:w="748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C758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深度参与了安全方案评审、中期安全检查（5月）及验收前安全审计（10月），提供了关键的业务安全需求输入，协作顺畅。</w:t>
            </w:r>
          </w:p>
        </w:tc>
      </w:tr>
      <w:tr w14:paraId="17DFA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6958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全体项目成员</w:t>
            </w:r>
          </w:p>
        </w:tc>
        <w:tc>
          <w:tcPr>
            <w:tcW w:w="748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6126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安全意识已融入日常工作习惯，累计开展专项安全培训3次，保密协议签署率与考核通过率均达100%。</w:t>
            </w:r>
          </w:p>
        </w:tc>
      </w:tr>
    </w:tbl>
    <w:p w14:paraId="26D5A20C">
      <w:pPr>
        <w:pStyle w:val="28"/>
        <w:bidi w:val="0"/>
        <w:rPr>
          <w:rFonts w:hint="default"/>
          <w:lang w:val="en-US" w:eastAsia="zh-CN"/>
        </w:rPr>
      </w:pPr>
      <w:bookmarkStart w:id="6" w:name="_Toc18561"/>
      <w:r>
        <w:rPr>
          <w:rFonts w:hint="default"/>
          <w:lang w:val="en-US" w:eastAsia="zh-CN"/>
        </w:rPr>
        <w:t>各领域安全措施实施成果</w:t>
      </w:r>
      <w:bookmarkEnd w:id="6"/>
    </w:p>
    <w:p w14:paraId="49FF8046">
      <w:pPr>
        <w:pStyle w:val="30"/>
        <w:bidi w:val="0"/>
        <w:rPr>
          <w:rFonts w:hint="default"/>
          <w:lang w:val="en-US" w:eastAsia="zh-CN"/>
        </w:rPr>
      </w:pPr>
      <w:bookmarkStart w:id="7" w:name="_Toc4275"/>
      <w:r>
        <w:rPr>
          <w:rFonts w:hint="default"/>
          <w:lang w:val="en-US" w:eastAsia="zh-CN"/>
        </w:rPr>
        <w:t>物理与环境安全</w:t>
      </w:r>
      <w:bookmarkEnd w:id="7"/>
    </w:p>
    <w:p w14:paraId="62CCABC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资产全流程可控：对合同清单中所有硬件设备建立了完整的资产台账，实现了从入库、领用、安装到最终位置的全程跟踪。</w:t>
      </w:r>
    </w:p>
    <w:p w14:paraId="62F2D26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核心区域安全就绪： 数据中心、网络机房及主要设备间已按照设计完成标准化建设，配备了永久的门禁、监控、消防及环境控制系统，符合国家相关标准。</w:t>
      </w:r>
    </w:p>
    <w:p w14:paraId="260E0367">
      <w:pPr>
        <w:pStyle w:val="30"/>
        <w:bidi w:val="0"/>
        <w:rPr>
          <w:rFonts w:hint="default"/>
          <w:lang w:val="en-US" w:eastAsia="zh-CN"/>
        </w:rPr>
      </w:pPr>
      <w:bookmarkStart w:id="8" w:name="_Toc14248"/>
      <w:r>
        <w:rPr>
          <w:rFonts w:hint="default"/>
          <w:lang w:val="en-US" w:eastAsia="zh-CN"/>
        </w:rPr>
        <w:t>网络安全</w:t>
      </w:r>
      <w:bookmarkEnd w:id="8"/>
    </w:p>
    <w:p w14:paraId="178FD95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安全架构稳定运行： 基于VLAN、防火墙策略及访问控制列表构建的“分区隔离、纵深防御”网络架构已稳定运行超过四个月。关键网络设备配置均已备份并归档。</w:t>
      </w:r>
    </w:p>
    <w:p w14:paraId="13E642F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高级威胁防护引入： 在试运行阶段，于网络边界部署了入侵防御系统（IPS），并对核心交换机的安全策略进行了优化，增强了对新型网络攻击的检测与防御能力。</w:t>
      </w:r>
    </w:p>
    <w:p w14:paraId="485C7ACE">
      <w:pPr>
        <w:pStyle w:val="30"/>
        <w:bidi w:val="0"/>
        <w:rPr>
          <w:rFonts w:hint="default"/>
          <w:lang w:val="en-US" w:eastAsia="zh-CN"/>
        </w:rPr>
      </w:pPr>
      <w:bookmarkStart w:id="9" w:name="_Toc2270"/>
      <w:r>
        <w:rPr>
          <w:rFonts w:hint="default"/>
          <w:lang w:val="en-US" w:eastAsia="zh-CN"/>
        </w:rPr>
        <w:t>系统与应用安全</w:t>
      </w:r>
      <w:bookmarkEnd w:id="9"/>
    </w:p>
    <w:p w14:paraId="1B8DB53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安全基线全面固化： 所有服务器（含图形处理主机、视频会议主机）、操作系统、数据库及业务应用（智慧农业平台、视频监控平台、LED显示控制系统等）均已完成安全加固，并形成标准化配置手册。</w:t>
      </w:r>
    </w:p>
    <w:p w14:paraId="498BB15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深度安全测试通过：于2025年9月委托第三方独立机构进行了渗透测试与源代码安全审计（针对定制开发部分）。发现的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个中低风险漏洞均在10月中旬前完成修复，并提交了详细的《安全测试与修复报告》，满足合同及验收要求。</w:t>
      </w:r>
    </w:p>
    <w:p w14:paraId="6BDF47D2">
      <w:pPr>
        <w:pStyle w:val="30"/>
        <w:bidi w:val="0"/>
        <w:rPr>
          <w:rFonts w:hint="default"/>
          <w:lang w:val="en-US" w:eastAsia="zh-CN"/>
        </w:rPr>
      </w:pPr>
      <w:bookmarkStart w:id="10" w:name="_Toc13553"/>
      <w:r>
        <w:rPr>
          <w:rFonts w:hint="default"/>
          <w:lang w:val="en-US" w:eastAsia="zh-CN"/>
        </w:rPr>
        <w:t>数据安全</w:t>
      </w:r>
      <w:bookmarkEnd w:id="10"/>
    </w:p>
    <w:p w14:paraId="496AE7D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数据治理框架建立： 与甲方共同完成了项目数据资产的分类分级，明确了“农业生产数据”、“视频人脸数据”等为敏感数据，并制定了相应的加密、脱敏和访问审批流程。</w:t>
      </w:r>
    </w:p>
    <w:p w14:paraId="0CFEA7F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全生命周期保护落地： 敏感数据在传输（TLS）、存储（数据库加密）及备份（加密备份）环节均实现了加密保护。建立了完整的备份与恢复演练记录，RTO与RPO目标得到验证。</w:t>
      </w:r>
    </w:p>
    <w:p w14:paraId="78FA9361">
      <w:pPr>
        <w:pStyle w:val="30"/>
        <w:bidi w:val="0"/>
        <w:rPr>
          <w:rFonts w:hint="default"/>
          <w:lang w:val="en-US" w:eastAsia="zh-CN"/>
        </w:rPr>
      </w:pPr>
      <w:bookmarkStart w:id="11" w:name="_Toc15305"/>
      <w:r>
        <w:rPr>
          <w:rFonts w:hint="default"/>
          <w:lang w:val="en-US" w:eastAsia="zh-CN"/>
        </w:rPr>
        <w:t>供应链与知识产权安全</w:t>
      </w:r>
      <w:bookmarkEnd w:id="11"/>
    </w:p>
    <w:p w14:paraId="4A96DF0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合规性保障： 确保所有采购的软硬件产品（如大华、H3C、戴尔、华为等品牌）来源合法，提供了必要的授权证书与合规证明，履行了合同第9条责任。</w:t>
      </w:r>
    </w:p>
    <w:p w14:paraId="4B5ED78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知识产权明晰： 严格遵循合同</w:t>
      </w:r>
      <w:r>
        <w:rPr>
          <w:rFonts w:hint="eastAsia"/>
          <w:lang w:val="en-US" w:eastAsia="zh-CN"/>
        </w:rPr>
        <w:t>规定</w:t>
      </w:r>
      <w:r>
        <w:rPr>
          <w:rFonts w:hint="default"/>
          <w:lang w:val="en-US" w:eastAsia="zh-CN"/>
        </w:rPr>
        <w:t>，本项目产生的所有开发成果知识产权已按约定归属甲方。我方使用的自有或第三方知识产权均已披露，无潜在纠纷。</w:t>
      </w:r>
    </w:p>
    <w:p w14:paraId="5D4F1176">
      <w:pPr>
        <w:pStyle w:val="28"/>
        <w:bidi w:val="0"/>
        <w:rPr>
          <w:rFonts w:hint="default"/>
          <w:lang w:val="en-US" w:eastAsia="zh-CN"/>
        </w:rPr>
      </w:pPr>
      <w:bookmarkStart w:id="12" w:name="_Toc1915"/>
      <w:r>
        <w:rPr>
          <w:rFonts w:hint="default"/>
          <w:lang w:val="en-US" w:eastAsia="zh-CN"/>
        </w:rPr>
        <w:t>风险评估与动态管理</w:t>
      </w:r>
      <w:bookmarkEnd w:id="12"/>
    </w:p>
    <w:p w14:paraId="2903AE9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风险演进跟踪： 项目初期识别的5项高风险已全部通过工程与管理措施降至“低”或“可接受”级别。随着系统上线，新增了“业务逻辑漏洞”和“供应链软件漏洞”两项中风险，并已纳入常态化监控。</w:t>
      </w:r>
    </w:p>
    <w:p w14:paraId="0B429A7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定期评估机制： 建立了季度风险评估机制，分别在4月、7月和10月进行了三次正式评估，确保风险管理与项目实际进展同步。</w:t>
      </w:r>
    </w:p>
    <w:p w14:paraId="0B45D739">
      <w:pPr>
        <w:pStyle w:val="28"/>
        <w:bidi w:val="0"/>
        <w:rPr>
          <w:rFonts w:hint="default"/>
          <w:lang w:val="en-US" w:eastAsia="zh-CN"/>
        </w:rPr>
      </w:pPr>
      <w:bookmarkStart w:id="13" w:name="_Toc16229"/>
      <w:r>
        <w:rPr>
          <w:rFonts w:hint="default"/>
          <w:lang w:val="en-US" w:eastAsia="zh-CN"/>
        </w:rPr>
        <w:t>安全事件与应急响应</w:t>
      </w:r>
      <w:bookmarkEnd w:id="13"/>
    </w:p>
    <w:p w14:paraId="7925325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报告期内，共记录并处置安全相关事件与告警15起，其中：</w:t>
      </w:r>
    </w:p>
    <w:p w14:paraId="0860A66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14起为网络扫描、误报等低威胁事件，均通过自动化监控系统发现并处置。</w:t>
      </w:r>
    </w:p>
    <w:p w14:paraId="3490FD7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1起为试运行期间发生的可疑暴力破解攻击尝试，被IPS成功阻断，未造成影响。该事件触发了完整的应急响应流程，并进行了事后溯源分析，提升了系统账号策略强度。</w:t>
      </w:r>
    </w:p>
    <w:p w14:paraId="4D5EAA3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上述事件处理证实了项目安全监测与响应体系的有效性，并为运维期积累了宝贵经验。</w:t>
      </w:r>
    </w:p>
    <w:p w14:paraId="3020D69E">
      <w:pPr>
        <w:pStyle w:val="28"/>
        <w:bidi w:val="0"/>
        <w:rPr>
          <w:rFonts w:hint="default"/>
          <w:lang w:val="en-US" w:eastAsia="zh-CN"/>
        </w:rPr>
      </w:pPr>
      <w:bookmarkStart w:id="14" w:name="_Toc21402"/>
      <w:r>
        <w:rPr>
          <w:rFonts w:hint="default"/>
          <w:lang w:val="en-US" w:eastAsia="zh-CN"/>
        </w:rPr>
        <w:t>符合性审计与验收准备</w:t>
      </w:r>
      <w:bookmarkEnd w:id="14"/>
    </w:p>
    <w:p w14:paraId="36D9286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内部审计： 严格执行月度检查，共发现并闭环整改问题32项，形成检查记录8份。</w:t>
      </w:r>
    </w:p>
    <w:p w14:paraId="779CE8B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甲方协同审计： 于2025年10月下旬，积极配合甲方完成了验收前的专项安全审计。审计范围覆盖管理、技术、数据各层面，审计结论表明项目信息安全建设符合合同及管理计划要求，具备验收条件。</w:t>
      </w:r>
    </w:p>
    <w:p w14:paraId="09DFD65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文档交付物就绪： 已整理并准备好全套安全交付文档，包括但不限于：《安全架构设计文档》、《系统安全配置清单》、《渗透测试报告》、《应急响应预案》、《安全培训记录》等，可供最终项目验收（合同第10条）时提交。</w:t>
      </w:r>
    </w:p>
    <w:p w14:paraId="31A4DE7A">
      <w:pPr>
        <w:pStyle w:val="28"/>
        <w:bidi w:val="0"/>
        <w:rPr>
          <w:rFonts w:hint="default"/>
          <w:lang w:val="en-US" w:eastAsia="zh-CN"/>
        </w:rPr>
      </w:pPr>
      <w:bookmarkStart w:id="15" w:name="_Toc31821"/>
      <w:r>
        <w:rPr>
          <w:rFonts w:hint="default"/>
          <w:lang w:val="en-US" w:eastAsia="zh-CN"/>
        </w:rPr>
        <w:t>总结与运维期安全过渡计划</w:t>
      </w:r>
      <w:bookmarkEnd w:id="15"/>
    </w:p>
    <w:p w14:paraId="77689A8A">
      <w:pPr>
        <w:pStyle w:val="30"/>
        <w:bidi w:val="0"/>
        <w:rPr>
          <w:rFonts w:hint="default"/>
          <w:lang w:val="en-US" w:eastAsia="zh-CN"/>
        </w:rPr>
      </w:pPr>
      <w:bookmarkStart w:id="16" w:name="_Toc18093"/>
      <w:r>
        <w:rPr>
          <w:rFonts w:hint="default"/>
          <w:lang w:val="en-US" w:eastAsia="zh-CN"/>
        </w:rPr>
        <w:t>总体评价</w:t>
      </w:r>
      <w:bookmarkEnd w:id="16"/>
    </w:p>
    <w:p w14:paraId="6E50165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信息安全管理工作实现了从“规划建设”到“稳定运行”的平稳过渡，建立了一套贴合智慧农业综合体业务特点、有效可控的安全防护体系，完全达到了项目初期设定的安全目标，并满足了国家法律法规及合同的强制性要求。</w:t>
      </w:r>
    </w:p>
    <w:p w14:paraId="6744C0FD">
      <w:pPr>
        <w:pStyle w:val="30"/>
        <w:bidi w:val="0"/>
        <w:rPr>
          <w:rFonts w:hint="default"/>
          <w:lang w:val="en-US" w:eastAsia="zh-CN"/>
        </w:rPr>
      </w:pPr>
      <w:bookmarkStart w:id="17" w:name="_Toc31955"/>
      <w:r>
        <w:rPr>
          <w:rFonts w:hint="default"/>
          <w:lang w:val="en-US" w:eastAsia="zh-CN"/>
        </w:rPr>
        <w:t>后续重点工作（运维服务期）：</w:t>
      </w:r>
      <w:bookmarkEnd w:id="17"/>
    </w:p>
    <w:p w14:paraId="10B06C2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根据合同</w:t>
      </w:r>
      <w:r>
        <w:rPr>
          <w:rFonts w:hint="eastAsia"/>
          <w:lang w:val="en-US" w:eastAsia="zh-CN"/>
        </w:rPr>
        <w:t>规定</w:t>
      </w:r>
      <w:r>
        <w:rPr>
          <w:rFonts w:hint="default"/>
          <w:lang w:val="en-US" w:eastAsia="zh-CN"/>
        </w:rPr>
        <w:t>，项目将进入为期三年的质量保证与运维服务期。信息安全工作的重心将实现以下转移：</w:t>
      </w:r>
    </w:p>
    <w:p w14:paraId="4E2FEB5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从“项目制”转向“服务化”： 制定《运维期信息安全管理规程》，将现有安全控制措施纳入日常运维流程。</w:t>
      </w:r>
    </w:p>
    <w:p w14:paraId="0F0FD84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持续监控与改进： 利用已部署的安全工具进行7x24小时安全监控，定期（每半年）进行安全评估与渗透测试。</w:t>
      </w:r>
    </w:p>
    <w:p w14:paraId="70A3561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事件响应常态化： 将项目期验证有效的应急响应预案固化，并定期对甲方运维团队进行培训与联合演练。</w:t>
      </w:r>
    </w:p>
    <w:p w14:paraId="6A09C49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知识转移： 向甲方指定的运维人员全面移交安全配置文档、管理权限和运维技能，确保安全运维能力的平稳传承。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F1A55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172E78"/>
    <w:rsid w:val="00BA7CA7"/>
    <w:rsid w:val="01821C28"/>
    <w:rsid w:val="0264611C"/>
    <w:rsid w:val="03DE3CAC"/>
    <w:rsid w:val="041F6DCE"/>
    <w:rsid w:val="05665D07"/>
    <w:rsid w:val="06FF1E65"/>
    <w:rsid w:val="070659F4"/>
    <w:rsid w:val="07754928"/>
    <w:rsid w:val="099472E7"/>
    <w:rsid w:val="0A2001BE"/>
    <w:rsid w:val="0AAE0CA9"/>
    <w:rsid w:val="0F7E3A23"/>
    <w:rsid w:val="101B2705"/>
    <w:rsid w:val="108035B1"/>
    <w:rsid w:val="10BB33AB"/>
    <w:rsid w:val="11141C75"/>
    <w:rsid w:val="11FF19BD"/>
    <w:rsid w:val="1329181A"/>
    <w:rsid w:val="14327E28"/>
    <w:rsid w:val="14A979BF"/>
    <w:rsid w:val="15DA0777"/>
    <w:rsid w:val="17204E58"/>
    <w:rsid w:val="1844637C"/>
    <w:rsid w:val="18CB4F16"/>
    <w:rsid w:val="19622F5E"/>
    <w:rsid w:val="1D2D5631"/>
    <w:rsid w:val="1E917E41"/>
    <w:rsid w:val="2020147D"/>
    <w:rsid w:val="23FA0237"/>
    <w:rsid w:val="253D769B"/>
    <w:rsid w:val="269C55D5"/>
    <w:rsid w:val="26F92A28"/>
    <w:rsid w:val="272A0E33"/>
    <w:rsid w:val="278F2208"/>
    <w:rsid w:val="27FF7BCA"/>
    <w:rsid w:val="2BD15D21"/>
    <w:rsid w:val="2E9279E9"/>
    <w:rsid w:val="2EF02962"/>
    <w:rsid w:val="2F8541A9"/>
    <w:rsid w:val="331C1259"/>
    <w:rsid w:val="3353526D"/>
    <w:rsid w:val="3508367E"/>
    <w:rsid w:val="39795389"/>
    <w:rsid w:val="3A2D4A6A"/>
    <w:rsid w:val="3A8915DF"/>
    <w:rsid w:val="3B351E28"/>
    <w:rsid w:val="3BBA0580"/>
    <w:rsid w:val="3FFA53EF"/>
    <w:rsid w:val="409D25EB"/>
    <w:rsid w:val="41186492"/>
    <w:rsid w:val="42036E22"/>
    <w:rsid w:val="45B71FEF"/>
    <w:rsid w:val="482A48B6"/>
    <w:rsid w:val="487321E2"/>
    <w:rsid w:val="49D059CC"/>
    <w:rsid w:val="4A4D25BF"/>
    <w:rsid w:val="4BB072A9"/>
    <w:rsid w:val="4BE17463"/>
    <w:rsid w:val="4D4C3002"/>
    <w:rsid w:val="4DB13C22"/>
    <w:rsid w:val="516114E4"/>
    <w:rsid w:val="51956D25"/>
    <w:rsid w:val="533F163E"/>
    <w:rsid w:val="536F35A6"/>
    <w:rsid w:val="546926EB"/>
    <w:rsid w:val="547A35C0"/>
    <w:rsid w:val="55515659"/>
    <w:rsid w:val="56DE0AFD"/>
    <w:rsid w:val="581F37ED"/>
    <w:rsid w:val="59B00317"/>
    <w:rsid w:val="5A951B44"/>
    <w:rsid w:val="5B433C96"/>
    <w:rsid w:val="5C3D6937"/>
    <w:rsid w:val="5CA40CE0"/>
    <w:rsid w:val="5E224037"/>
    <w:rsid w:val="60F90953"/>
    <w:rsid w:val="62650996"/>
    <w:rsid w:val="62D022B3"/>
    <w:rsid w:val="64966E1D"/>
    <w:rsid w:val="65091AAC"/>
    <w:rsid w:val="655B1BDC"/>
    <w:rsid w:val="67E047E8"/>
    <w:rsid w:val="68363CFA"/>
    <w:rsid w:val="6A882277"/>
    <w:rsid w:val="6E645FA5"/>
    <w:rsid w:val="70853FB1"/>
    <w:rsid w:val="72C60FDD"/>
    <w:rsid w:val="72CC236B"/>
    <w:rsid w:val="75DD2610"/>
    <w:rsid w:val="76684159"/>
    <w:rsid w:val="78324A1E"/>
    <w:rsid w:val="79214144"/>
    <w:rsid w:val="7BFD3595"/>
    <w:rsid w:val="7F8738A2"/>
    <w:rsid w:val="7F91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3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2532</Words>
  <Characters>2669</Characters>
  <Lines>0</Lines>
  <Paragraphs>0</Paragraphs>
  <TotalTime>0</TotalTime>
  <ScaleCrop>false</ScaleCrop>
  <LinksUpToDate>false</LinksUpToDate>
  <CharactersWithSpaces>2742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2025-12-27T08:39:39Z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