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AEC1FF">
      <w:pPr>
        <w:spacing w:before="78" w:line="219" w:lineRule="auto"/>
        <w:ind w:left="25"/>
        <w:rPr>
          <w:rFonts w:hint="default" w:ascii="宋体" w:hAnsi="宋体" w:eastAsia="宋体" w:cs="宋体"/>
          <w:sz w:val="24"/>
          <w:szCs w:val="24"/>
          <w:lang w:val="en-US" w:eastAsia="zh-CN"/>
        </w:rPr>
      </w:pPr>
      <w:r>
        <w:rPr>
          <w:rFonts w:ascii="宋体" w:hAnsi="宋体" w:eastAsia="宋体" w:cs="宋体"/>
          <w:b/>
          <w:bCs/>
          <w:spacing w:val="-3"/>
          <w:sz w:val="24"/>
          <w:szCs w:val="24"/>
        </w:rPr>
        <w:t>文件编号：ITSS-10-01</w:t>
      </w:r>
      <w:r>
        <w:rPr>
          <w:rFonts w:hint="eastAsia" w:ascii="宋体" w:hAnsi="宋体" w:eastAsia="宋体" w:cs="宋体"/>
          <w:b/>
          <w:bCs/>
          <w:spacing w:val="-3"/>
          <w:sz w:val="24"/>
          <w:szCs w:val="24"/>
          <w:lang w:val="en-US" w:eastAsia="zh-CN"/>
        </w:rPr>
        <w:t>-03</w:t>
      </w:r>
    </w:p>
    <w:p w14:paraId="6470D3C6">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ascii="宋体" w:hAnsi="宋体" w:eastAsia="宋体" w:cs="宋体"/>
          <w:sz w:val="24"/>
          <w:szCs w:val="24"/>
        </w:rPr>
      </w:pPr>
      <w:r>
        <w:rPr>
          <w:rFonts w:ascii="宋体" w:hAnsi="宋体" w:eastAsia="宋体" w:cs="宋体"/>
          <w:b/>
          <w:bCs/>
          <w:spacing w:val="240"/>
          <w:kern w:val="0"/>
          <w:sz w:val="24"/>
          <w:szCs w:val="24"/>
        </w:rPr>
        <w:t>版</w:t>
      </w:r>
      <w:r>
        <w:rPr>
          <w:rFonts w:ascii="宋体" w:hAnsi="宋体" w:eastAsia="宋体" w:cs="宋体"/>
          <w:b/>
          <w:bCs/>
          <w:spacing w:val="0"/>
          <w:kern w:val="0"/>
          <w:sz w:val="24"/>
          <w:szCs w:val="24"/>
        </w:rPr>
        <w:t>本</w:t>
      </w:r>
      <w:r>
        <w:rPr>
          <w:rFonts w:ascii="宋体" w:hAnsi="宋体" w:eastAsia="宋体" w:cs="宋体"/>
          <w:b/>
          <w:bCs/>
          <w:spacing w:val="-5"/>
          <w:sz w:val="24"/>
          <w:szCs w:val="24"/>
        </w:rPr>
        <w:t>：V1.0</w:t>
      </w:r>
    </w:p>
    <w:p w14:paraId="0DA6E23F">
      <w:pPr>
        <w:pStyle w:val="26"/>
        <w:bidi w:val="0"/>
      </w:pPr>
      <w:bookmarkStart w:id="0" w:name="_Toc13684"/>
      <w:r>
        <w:rPr>
          <w:rFonts w:hint="eastAsia"/>
          <w:lang w:val="en-US" w:eastAsia="zh-CN"/>
        </w:rPr>
        <w:t>青岛瑞源工程集团有限公司</w:t>
      </w:r>
      <w:bookmarkEnd w:id="0"/>
    </w:p>
    <w:p w14:paraId="43AA89FE">
      <w:pPr>
        <w:pStyle w:val="27"/>
        <w:bidi w:val="0"/>
        <w:rPr>
          <w:rFonts w:hint="default"/>
          <w:lang w:val="en-US"/>
        </w:rPr>
      </w:pPr>
      <w:bookmarkStart w:id="1" w:name="_Toc28629"/>
      <w:r>
        <w:rPr>
          <w:rFonts w:hint="eastAsia"/>
          <w:lang w:val="en-US" w:eastAsia="zh-CN"/>
        </w:rPr>
        <w:t>备件库管理制度</w:t>
      </w:r>
      <w:bookmarkEnd w:id="1"/>
    </w:p>
    <w:tbl>
      <w:tblPr>
        <w:tblStyle w:val="22"/>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7CD7E3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7347888B">
            <w:pPr>
              <w:widowControl w:val="0"/>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张秀才</w:t>
            </w:r>
          </w:p>
        </w:tc>
        <w:tc>
          <w:tcPr>
            <w:tcW w:w="4261" w:type="dxa"/>
          </w:tcPr>
          <w:p w14:paraId="6924A6A2">
            <w:pPr>
              <w:widowControl w:val="0"/>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5E2EC8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shd w:val="clear" w:color="auto" w:fill="auto"/>
          </w:tcPr>
          <w:p w14:paraId="1BB9A5C5">
            <w:pPr>
              <w:widowControl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spacing w:val="90"/>
                <w:kern w:val="0"/>
                <w:u w:val="single"/>
                <w:fitText w:val="600" w:id="768881546"/>
                <w:vertAlign w:val="baseline"/>
                <w:lang w:val="en-US" w:eastAsia="zh-CN"/>
              </w:rPr>
              <w:t>宋</w:t>
            </w:r>
            <w:r>
              <w:rPr>
                <w:rFonts w:hint="eastAsia"/>
                <w:spacing w:val="0"/>
                <w:kern w:val="0"/>
                <w:u w:val="single"/>
                <w:fitText w:val="600" w:id="768881546"/>
                <w:vertAlign w:val="baseline"/>
                <w:lang w:val="en-US" w:eastAsia="zh-CN"/>
              </w:rPr>
              <w:t>振</w:t>
            </w:r>
          </w:p>
        </w:tc>
        <w:tc>
          <w:tcPr>
            <w:tcW w:w="4261" w:type="dxa"/>
            <w:shd w:val="clear" w:color="auto" w:fill="auto"/>
          </w:tcPr>
          <w:p w14:paraId="43877F08">
            <w:pPr>
              <w:widowControl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337AAA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529731AB">
            <w:pPr>
              <w:widowControl w:val="0"/>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于瑞建</w:t>
            </w:r>
          </w:p>
        </w:tc>
        <w:tc>
          <w:tcPr>
            <w:tcW w:w="4261" w:type="dxa"/>
          </w:tcPr>
          <w:p w14:paraId="78A21919">
            <w:pPr>
              <w:widowControl w:val="0"/>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545BFC2A">
      <w:r>
        <w:br w:type="page"/>
      </w:r>
    </w:p>
    <w:p w14:paraId="4CDD35A6">
      <w:pPr>
        <w:spacing w:before="153" w:line="225" w:lineRule="auto"/>
        <w:ind w:left="3634"/>
        <w:rPr>
          <w:rFonts w:ascii="宋体" w:hAnsi="宋体" w:eastAsia="宋体" w:cs="宋体"/>
          <w:sz w:val="31"/>
          <w:szCs w:val="31"/>
        </w:rPr>
      </w:pPr>
      <w:r>
        <w:rPr>
          <w:rFonts w:ascii="宋体" w:hAnsi="宋体" w:eastAsia="宋体" w:cs="宋体"/>
          <w:b/>
          <w:bCs/>
          <w:spacing w:val="4"/>
          <w:sz w:val="31"/>
          <w:szCs w:val="31"/>
        </w:rPr>
        <w:t>修订记录</w:t>
      </w:r>
    </w:p>
    <w:tbl>
      <w:tblPr>
        <w:tblStyle w:val="28"/>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346E98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7F69C793">
            <w:pPr>
              <w:spacing w:before="176" w:line="228" w:lineRule="auto"/>
              <w:ind w:left="607"/>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4070BCBE">
            <w:pPr>
              <w:spacing w:before="175" w:line="227" w:lineRule="auto"/>
              <w:ind w:left="253"/>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5E34AD6E">
            <w:pPr>
              <w:spacing w:before="175" w:line="228" w:lineRule="auto"/>
              <w:ind w:left="730"/>
              <w:rPr>
                <w:rFonts w:ascii="宋体" w:hAnsi="宋体" w:eastAsia="宋体" w:cs="宋体"/>
                <w:sz w:val="20"/>
                <w:szCs w:val="20"/>
              </w:rPr>
            </w:pPr>
            <w:r>
              <w:rPr>
                <w:rFonts w:ascii="宋体" w:hAnsi="宋体" w:eastAsia="宋体" w:cs="宋体"/>
                <w:spacing w:val="7"/>
                <w:sz w:val="20"/>
                <w:szCs w:val="20"/>
              </w:rPr>
              <w:t>变更说明</w:t>
            </w:r>
          </w:p>
        </w:tc>
        <w:tc>
          <w:tcPr>
            <w:tcW w:w="1148" w:type="dxa"/>
          </w:tcPr>
          <w:p w14:paraId="2EE8B237">
            <w:pPr>
              <w:spacing w:before="175" w:line="228" w:lineRule="auto"/>
              <w:ind w:left="310"/>
              <w:rPr>
                <w:rFonts w:ascii="宋体" w:hAnsi="宋体" w:eastAsia="宋体" w:cs="宋体"/>
                <w:sz w:val="20"/>
                <w:szCs w:val="20"/>
              </w:rPr>
            </w:pPr>
            <w:r>
              <w:rPr>
                <w:rFonts w:ascii="宋体" w:hAnsi="宋体" w:eastAsia="宋体" w:cs="宋体"/>
                <w:spacing w:val="6"/>
                <w:sz w:val="20"/>
                <w:szCs w:val="20"/>
              </w:rPr>
              <w:t>编写人</w:t>
            </w:r>
          </w:p>
        </w:tc>
        <w:tc>
          <w:tcPr>
            <w:tcW w:w="1150" w:type="dxa"/>
          </w:tcPr>
          <w:p w14:paraId="1A58CCC1">
            <w:pPr>
              <w:spacing w:before="175" w:line="228" w:lineRule="auto"/>
              <w:ind w:left="310"/>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审核人</w:t>
            </w:r>
          </w:p>
        </w:tc>
        <w:tc>
          <w:tcPr>
            <w:tcW w:w="1240" w:type="dxa"/>
          </w:tcPr>
          <w:p w14:paraId="38461EE0">
            <w:pPr>
              <w:spacing w:before="176" w:line="229" w:lineRule="auto"/>
              <w:ind w:left="311"/>
              <w:rPr>
                <w:rFonts w:ascii="宋体" w:hAnsi="宋体" w:eastAsia="宋体" w:cs="宋体"/>
                <w:sz w:val="20"/>
                <w:szCs w:val="20"/>
              </w:rPr>
            </w:pPr>
            <w:r>
              <w:rPr>
                <w:rFonts w:ascii="宋体" w:hAnsi="宋体" w:eastAsia="宋体" w:cs="宋体"/>
                <w:spacing w:val="7"/>
                <w:sz w:val="20"/>
                <w:szCs w:val="20"/>
              </w:rPr>
              <w:t>批准人</w:t>
            </w:r>
          </w:p>
        </w:tc>
      </w:tr>
      <w:tr w14:paraId="6062539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1DB354B3">
            <w:pPr>
              <w:spacing w:before="173" w:line="267" w:lineRule="exact"/>
              <w:ind w:left="260"/>
              <w:rPr>
                <w:rFonts w:ascii="宋体" w:hAnsi="宋体" w:eastAsia="宋体" w:cs="宋体"/>
                <w:sz w:val="20"/>
                <w:szCs w:val="20"/>
              </w:rPr>
            </w:pPr>
            <w:r>
              <w:rPr>
                <w:rFonts w:ascii="宋体" w:hAnsi="宋体" w:eastAsia="宋体" w:cs="宋体"/>
                <w:spacing w:val="3"/>
                <w:position w:val="1"/>
                <w:sz w:val="20"/>
                <w:szCs w:val="20"/>
              </w:rPr>
              <w:t>2025.01.10</w:t>
            </w:r>
          </w:p>
        </w:tc>
        <w:tc>
          <w:tcPr>
            <w:tcW w:w="919" w:type="dxa"/>
          </w:tcPr>
          <w:p w14:paraId="4995CA00">
            <w:pPr>
              <w:spacing w:before="173" w:line="267" w:lineRule="exact"/>
              <w:ind w:left="248"/>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7C13A238">
            <w:pPr>
              <w:spacing w:before="172" w:line="228" w:lineRule="auto"/>
              <w:ind w:left="114"/>
              <w:jc w:val="center"/>
              <w:rPr>
                <w:rFonts w:ascii="宋体" w:hAnsi="宋体" w:eastAsia="宋体" w:cs="宋体"/>
                <w:sz w:val="20"/>
                <w:szCs w:val="20"/>
              </w:rPr>
            </w:pPr>
            <w:r>
              <w:rPr>
                <w:rFonts w:ascii="宋体" w:hAnsi="宋体" w:eastAsia="宋体" w:cs="宋体"/>
                <w:spacing w:val="7"/>
                <w:sz w:val="20"/>
                <w:szCs w:val="20"/>
              </w:rPr>
              <w:t>新建文档</w:t>
            </w:r>
          </w:p>
        </w:tc>
        <w:tc>
          <w:tcPr>
            <w:tcW w:w="1148" w:type="dxa"/>
          </w:tcPr>
          <w:p w14:paraId="74A1007A">
            <w:pPr>
              <w:spacing w:before="172" w:line="228" w:lineRule="auto"/>
              <w:ind w:left="313"/>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张秀才</w:t>
            </w:r>
          </w:p>
        </w:tc>
        <w:tc>
          <w:tcPr>
            <w:tcW w:w="1150" w:type="dxa"/>
          </w:tcPr>
          <w:p w14:paraId="119ED9E8">
            <w:pPr>
              <w:spacing w:before="172" w:line="228" w:lineRule="auto"/>
              <w:ind w:left="313"/>
              <w:rPr>
                <w:rFonts w:hint="eastAsia" w:ascii="宋体" w:hAnsi="宋体" w:eastAsia="宋体" w:cs="宋体"/>
                <w:spacing w:val="5"/>
                <w:sz w:val="20"/>
                <w:szCs w:val="20"/>
              </w:rPr>
            </w:pPr>
            <w:r>
              <w:rPr>
                <w:rFonts w:hint="eastAsia" w:ascii="宋体" w:hAnsi="宋体" w:eastAsia="宋体" w:cs="宋体"/>
                <w:spacing w:val="100"/>
                <w:kern w:val="0"/>
                <w:sz w:val="20"/>
                <w:szCs w:val="20"/>
                <w:fitText w:val="600" w:id="1188313773"/>
                <w:lang w:val="en-US" w:eastAsia="zh-CN"/>
              </w:rPr>
              <w:t>宋</w:t>
            </w:r>
            <w:r>
              <w:rPr>
                <w:rFonts w:hint="eastAsia" w:ascii="宋体" w:hAnsi="宋体" w:eastAsia="宋体" w:cs="宋体"/>
                <w:spacing w:val="0"/>
                <w:kern w:val="0"/>
                <w:sz w:val="20"/>
                <w:szCs w:val="20"/>
                <w:fitText w:val="600" w:id="1188313773"/>
                <w:lang w:val="en-US" w:eastAsia="zh-CN"/>
              </w:rPr>
              <w:t>振</w:t>
            </w:r>
          </w:p>
        </w:tc>
        <w:tc>
          <w:tcPr>
            <w:tcW w:w="1240" w:type="dxa"/>
          </w:tcPr>
          <w:p w14:paraId="1AC68282">
            <w:pPr>
              <w:spacing w:before="173" w:line="229" w:lineRule="auto"/>
              <w:ind w:left="314"/>
              <w:rPr>
                <w:rFonts w:ascii="宋体" w:hAnsi="宋体" w:eastAsia="宋体" w:cs="宋体"/>
                <w:sz w:val="20"/>
                <w:szCs w:val="20"/>
              </w:rPr>
            </w:pPr>
            <w:r>
              <w:rPr>
                <w:rFonts w:hint="eastAsia" w:ascii="宋体" w:hAnsi="宋体" w:eastAsia="宋体" w:cs="宋体"/>
                <w:spacing w:val="6"/>
                <w:sz w:val="20"/>
                <w:szCs w:val="20"/>
                <w:lang w:val="en-US" w:eastAsia="zh-CN"/>
              </w:rPr>
              <w:t>于瑞建</w:t>
            </w:r>
          </w:p>
        </w:tc>
      </w:tr>
      <w:tr w14:paraId="4DF38EE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157223AF">
            <w:pPr>
              <w:pStyle w:val="29"/>
            </w:pPr>
          </w:p>
        </w:tc>
        <w:tc>
          <w:tcPr>
            <w:tcW w:w="919" w:type="dxa"/>
          </w:tcPr>
          <w:p w14:paraId="352BDB93">
            <w:pPr>
              <w:pStyle w:val="29"/>
            </w:pPr>
          </w:p>
        </w:tc>
        <w:tc>
          <w:tcPr>
            <w:tcW w:w="2289" w:type="dxa"/>
          </w:tcPr>
          <w:p w14:paraId="3375E4D4">
            <w:pPr>
              <w:pStyle w:val="29"/>
            </w:pPr>
          </w:p>
        </w:tc>
        <w:tc>
          <w:tcPr>
            <w:tcW w:w="1148" w:type="dxa"/>
          </w:tcPr>
          <w:p w14:paraId="1FA0AF58">
            <w:pPr>
              <w:spacing w:before="172" w:line="228" w:lineRule="auto"/>
              <w:ind w:left="313"/>
            </w:pPr>
          </w:p>
        </w:tc>
        <w:tc>
          <w:tcPr>
            <w:tcW w:w="1150" w:type="dxa"/>
          </w:tcPr>
          <w:p w14:paraId="0E033CF3">
            <w:pPr>
              <w:spacing w:before="172" w:line="228" w:lineRule="auto"/>
              <w:ind w:left="313"/>
            </w:pPr>
          </w:p>
        </w:tc>
        <w:tc>
          <w:tcPr>
            <w:tcW w:w="1240" w:type="dxa"/>
          </w:tcPr>
          <w:p w14:paraId="68071260">
            <w:pPr>
              <w:pStyle w:val="29"/>
            </w:pPr>
          </w:p>
        </w:tc>
      </w:tr>
      <w:tr w14:paraId="75BF699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3553FD58">
            <w:pPr>
              <w:pStyle w:val="29"/>
            </w:pPr>
          </w:p>
        </w:tc>
        <w:tc>
          <w:tcPr>
            <w:tcW w:w="919" w:type="dxa"/>
          </w:tcPr>
          <w:p w14:paraId="2A009F96">
            <w:pPr>
              <w:pStyle w:val="29"/>
            </w:pPr>
          </w:p>
        </w:tc>
        <w:tc>
          <w:tcPr>
            <w:tcW w:w="2289" w:type="dxa"/>
          </w:tcPr>
          <w:p w14:paraId="50F79127">
            <w:pPr>
              <w:pStyle w:val="29"/>
            </w:pPr>
          </w:p>
        </w:tc>
        <w:tc>
          <w:tcPr>
            <w:tcW w:w="1148" w:type="dxa"/>
          </w:tcPr>
          <w:p w14:paraId="63ED1537">
            <w:pPr>
              <w:spacing w:before="173" w:line="229" w:lineRule="auto"/>
              <w:ind w:left="314"/>
            </w:pPr>
          </w:p>
        </w:tc>
        <w:tc>
          <w:tcPr>
            <w:tcW w:w="1150" w:type="dxa"/>
          </w:tcPr>
          <w:p w14:paraId="1F323414">
            <w:pPr>
              <w:spacing w:before="173" w:line="229" w:lineRule="auto"/>
              <w:ind w:left="314"/>
            </w:pPr>
          </w:p>
        </w:tc>
        <w:tc>
          <w:tcPr>
            <w:tcW w:w="1240" w:type="dxa"/>
          </w:tcPr>
          <w:p w14:paraId="66DA8AE6">
            <w:pPr>
              <w:pStyle w:val="29"/>
            </w:pPr>
          </w:p>
        </w:tc>
      </w:tr>
      <w:tr w14:paraId="03C48FB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3BBAE1FB">
            <w:pPr>
              <w:pStyle w:val="29"/>
            </w:pPr>
          </w:p>
        </w:tc>
        <w:tc>
          <w:tcPr>
            <w:tcW w:w="919" w:type="dxa"/>
          </w:tcPr>
          <w:p w14:paraId="5441F715">
            <w:pPr>
              <w:pStyle w:val="29"/>
            </w:pPr>
          </w:p>
        </w:tc>
        <w:tc>
          <w:tcPr>
            <w:tcW w:w="2289" w:type="dxa"/>
          </w:tcPr>
          <w:p w14:paraId="0674C053">
            <w:pPr>
              <w:pStyle w:val="29"/>
            </w:pPr>
          </w:p>
        </w:tc>
        <w:tc>
          <w:tcPr>
            <w:tcW w:w="1148" w:type="dxa"/>
          </w:tcPr>
          <w:p w14:paraId="6C2EF542">
            <w:pPr>
              <w:pStyle w:val="29"/>
            </w:pPr>
          </w:p>
        </w:tc>
        <w:tc>
          <w:tcPr>
            <w:tcW w:w="1150" w:type="dxa"/>
          </w:tcPr>
          <w:p w14:paraId="622C9D88">
            <w:pPr>
              <w:pStyle w:val="29"/>
            </w:pPr>
          </w:p>
        </w:tc>
        <w:tc>
          <w:tcPr>
            <w:tcW w:w="1240" w:type="dxa"/>
          </w:tcPr>
          <w:p w14:paraId="6DC8D64F">
            <w:pPr>
              <w:pStyle w:val="29"/>
            </w:pPr>
          </w:p>
        </w:tc>
      </w:tr>
      <w:tr w14:paraId="4747F9A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3EF94096">
            <w:pPr>
              <w:pStyle w:val="29"/>
            </w:pPr>
          </w:p>
        </w:tc>
        <w:tc>
          <w:tcPr>
            <w:tcW w:w="919" w:type="dxa"/>
          </w:tcPr>
          <w:p w14:paraId="0B50F3E6">
            <w:pPr>
              <w:pStyle w:val="29"/>
            </w:pPr>
          </w:p>
        </w:tc>
        <w:tc>
          <w:tcPr>
            <w:tcW w:w="2289" w:type="dxa"/>
          </w:tcPr>
          <w:p w14:paraId="6CE17D8E">
            <w:pPr>
              <w:pStyle w:val="29"/>
            </w:pPr>
          </w:p>
        </w:tc>
        <w:tc>
          <w:tcPr>
            <w:tcW w:w="1148" w:type="dxa"/>
          </w:tcPr>
          <w:p w14:paraId="3519E79E">
            <w:pPr>
              <w:pStyle w:val="29"/>
            </w:pPr>
          </w:p>
        </w:tc>
        <w:tc>
          <w:tcPr>
            <w:tcW w:w="1150" w:type="dxa"/>
          </w:tcPr>
          <w:p w14:paraId="0914328A">
            <w:pPr>
              <w:pStyle w:val="29"/>
            </w:pPr>
          </w:p>
        </w:tc>
        <w:tc>
          <w:tcPr>
            <w:tcW w:w="1240" w:type="dxa"/>
          </w:tcPr>
          <w:p w14:paraId="22EDFECB">
            <w:pPr>
              <w:pStyle w:val="29"/>
            </w:pPr>
          </w:p>
        </w:tc>
      </w:tr>
      <w:tr w14:paraId="66C058A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7E3A2411">
            <w:pPr>
              <w:pStyle w:val="29"/>
            </w:pPr>
          </w:p>
        </w:tc>
        <w:tc>
          <w:tcPr>
            <w:tcW w:w="919" w:type="dxa"/>
          </w:tcPr>
          <w:p w14:paraId="42CBCE51">
            <w:pPr>
              <w:pStyle w:val="29"/>
            </w:pPr>
          </w:p>
        </w:tc>
        <w:tc>
          <w:tcPr>
            <w:tcW w:w="2289" w:type="dxa"/>
          </w:tcPr>
          <w:p w14:paraId="780B5E3C">
            <w:pPr>
              <w:pStyle w:val="29"/>
            </w:pPr>
          </w:p>
        </w:tc>
        <w:tc>
          <w:tcPr>
            <w:tcW w:w="1148" w:type="dxa"/>
          </w:tcPr>
          <w:p w14:paraId="48DEAABF">
            <w:pPr>
              <w:pStyle w:val="29"/>
            </w:pPr>
          </w:p>
        </w:tc>
        <w:tc>
          <w:tcPr>
            <w:tcW w:w="1150" w:type="dxa"/>
          </w:tcPr>
          <w:p w14:paraId="0E2BD344">
            <w:pPr>
              <w:pStyle w:val="29"/>
            </w:pPr>
          </w:p>
        </w:tc>
        <w:tc>
          <w:tcPr>
            <w:tcW w:w="1240" w:type="dxa"/>
          </w:tcPr>
          <w:p w14:paraId="01775600">
            <w:pPr>
              <w:pStyle w:val="29"/>
            </w:pPr>
          </w:p>
        </w:tc>
      </w:tr>
    </w:tbl>
    <w:p w14:paraId="462E4666">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1911FE61">
          <w:pPr>
            <w:spacing w:before="0" w:beforeLines="0" w:after="0" w:afterLines="0"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目录</w:t>
          </w:r>
        </w:p>
        <w:p w14:paraId="27E555C4">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_Toc13684 </w:instrText>
          </w:r>
          <w:r>
            <w:rPr>
              <w:rFonts w:hint="eastAsia" w:ascii="宋体" w:hAnsi="宋体" w:eastAsia="宋体" w:cs="宋体"/>
              <w:szCs w:val="24"/>
            </w:rPr>
            <w:fldChar w:fldCharType="separate"/>
          </w:r>
          <w:r>
            <w:rPr>
              <w:rFonts w:hint="eastAsia"/>
              <w:lang w:val="en-US" w:eastAsia="zh-CN"/>
            </w:rPr>
            <w:t>青岛瑞源工程集团有限公司</w:t>
          </w:r>
          <w:r>
            <w:tab/>
          </w:r>
          <w:r>
            <w:fldChar w:fldCharType="begin"/>
          </w:r>
          <w:r>
            <w:instrText xml:space="preserve"> PAGEREF _Toc13684 \h </w:instrText>
          </w:r>
          <w:r>
            <w:fldChar w:fldCharType="separate"/>
          </w:r>
          <w:r>
            <w:t>1</w:t>
          </w:r>
          <w:r>
            <w:fldChar w:fldCharType="end"/>
          </w:r>
          <w:r>
            <w:rPr>
              <w:rFonts w:hint="eastAsia" w:ascii="宋体" w:hAnsi="宋体" w:eastAsia="宋体" w:cs="宋体"/>
              <w:szCs w:val="24"/>
            </w:rPr>
            <w:fldChar w:fldCharType="end"/>
          </w:r>
        </w:p>
        <w:p w14:paraId="4AF0DB4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_Toc28629 </w:instrText>
          </w:r>
          <w:r>
            <w:rPr>
              <w:rFonts w:hint="eastAsia" w:ascii="宋体" w:hAnsi="宋体" w:eastAsia="宋体" w:cs="宋体"/>
              <w:szCs w:val="24"/>
            </w:rPr>
            <w:fldChar w:fldCharType="separate"/>
          </w:r>
          <w:r>
            <w:rPr>
              <w:rFonts w:hint="eastAsia"/>
              <w:lang w:val="en-US" w:eastAsia="zh-CN"/>
            </w:rPr>
            <w:t>备件库管理制度</w:t>
          </w:r>
          <w:r>
            <w:tab/>
          </w:r>
          <w:r>
            <w:fldChar w:fldCharType="begin"/>
          </w:r>
          <w:r>
            <w:instrText xml:space="preserve"> PAGEREF _Toc28629 \h </w:instrText>
          </w:r>
          <w:r>
            <w:fldChar w:fldCharType="separate"/>
          </w:r>
          <w:r>
            <w:t>1</w:t>
          </w:r>
          <w:r>
            <w:fldChar w:fldCharType="end"/>
          </w:r>
          <w:r>
            <w:rPr>
              <w:rFonts w:hint="eastAsia" w:ascii="宋体" w:hAnsi="宋体" w:eastAsia="宋体" w:cs="宋体"/>
              <w:szCs w:val="24"/>
            </w:rPr>
            <w:fldChar w:fldCharType="end"/>
          </w:r>
        </w:p>
        <w:p w14:paraId="79678D6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_Toc16869 </w:instrText>
          </w:r>
          <w:r>
            <w:rPr>
              <w:rFonts w:hint="eastAsia" w:ascii="宋体" w:hAnsi="宋体" w:eastAsia="宋体" w:cs="宋体"/>
              <w:szCs w:val="24"/>
            </w:rPr>
            <w:fldChar w:fldCharType="separate"/>
          </w:r>
          <w:r>
            <w:rPr>
              <w:rFonts w:hint="default"/>
            </w:rPr>
            <w:t xml:space="preserve">1. </w:t>
          </w:r>
          <w:r>
            <w:t>目的</w:t>
          </w:r>
          <w:r>
            <w:tab/>
          </w:r>
          <w:r>
            <w:fldChar w:fldCharType="begin"/>
          </w:r>
          <w:r>
            <w:instrText xml:space="preserve"> PAGEREF _Toc16869 \h </w:instrText>
          </w:r>
          <w:r>
            <w:fldChar w:fldCharType="separate"/>
          </w:r>
          <w:r>
            <w:t>4</w:t>
          </w:r>
          <w:r>
            <w:fldChar w:fldCharType="end"/>
          </w:r>
          <w:r>
            <w:rPr>
              <w:rFonts w:hint="eastAsia" w:ascii="宋体" w:hAnsi="宋体" w:eastAsia="宋体" w:cs="宋体"/>
              <w:szCs w:val="24"/>
            </w:rPr>
            <w:fldChar w:fldCharType="end"/>
          </w:r>
        </w:p>
        <w:p w14:paraId="555F98DC">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_Toc26247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原则</w:t>
          </w:r>
          <w:r>
            <w:tab/>
          </w:r>
          <w:r>
            <w:fldChar w:fldCharType="begin"/>
          </w:r>
          <w:r>
            <w:instrText xml:space="preserve"> PAGEREF _Toc26247 \h </w:instrText>
          </w:r>
          <w:r>
            <w:fldChar w:fldCharType="separate"/>
          </w:r>
          <w:r>
            <w:t>4</w:t>
          </w:r>
          <w:r>
            <w:fldChar w:fldCharType="end"/>
          </w:r>
          <w:r>
            <w:rPr>
              <w:rFonts w:hint="eastAsia" w:ascii="宋体" w:hAnsi="宋体" w:eastAsia="宋体" w:cs="宋体"/>
              <w:szCs w:val="24"/>
            </w:rPr>
            <w:fldChar w:fldCharType="end"/>
          </w:r>
        </w:p>
        <w:p w14:paraId="185E0A3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_Toc3293 </w:instrText>
          </w:r>
          <w:r>
            <w:rPr>
              <w:rFonts w:hint="eastAsia" w:ascii="宋体" w:hAnsi="宋体" w:eastAsia="宋体" w:cs="宋体"/>
              <w:szCs w:val="24"/>
            </w:rPr>
            <w:fldChar w:fldCharType="separate"/>
          </w:r>
          <w:r>
            <w:rPr>
              <w:rFonts w:hint="default"/>
            </w:rPr>
            <w:t xml:space="preserve">3. </w:t>
          </w:r>
          <w:r>
            <w:rPr>
              <w:rFonts w:hint="eastAsia"/>
              <w:lang w:val="en-US" w:eastAsia="zh-CN"/>
            </w:rPr>
            <w:t>适用</w:t>
          </w:r>
          <w:r>
            <w:t>范围</w:t>
          </w:r>
          <w:r>
            <w:tab/>
          </w:r>
          <w:r>
            <w:fldChar w:fldCharType="begin"/>
          </w:r>
          <w:r>
            <w:instrText xml:space="preserve"> PAGEREF _Toc3293 \h </w:instrText>
          </w:r>
          <w:r>
            <w:fldChar w:fldCharType="separate"/>
          </w:r>
          <w:r>
            <w:t>4</w:t>
          </w:r>
          <w:r>
            <w:fldChar w:fldCharType="end"/>
          </w:r>
          <w:r>
            <w:rPr>
              <w:rFonts w:hint="eastAsia" w:ascii="宋体" w:hAnsi="宋体" w:eastAsia="宋体" w:cs="宋体"/>
              <w:szCs w:val="24"/>
            </w:rPr>
            <w:fldChar w:fldCharType="end"/>
          </w:r>
        </w:p>
        <w:p w14:paraId="6DF34CED">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_Toc28441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岗位职责</w:t>
          </w:r>
          <w:r>
            <w:tab/>
          </w:r>
          <w:r>
            <w:fldChar w:fldCharType="begin"/>
          </w:r>
          <w:r>
            <w:instrText xml:space="preserve"> PAGEREF _Toc28441 \h </w:instrText>
          </w:r>
          <w:r>
            <w:fldChar w:fldCharType="separate"/>
          </w:r>
          <w:r>
            <w:t>4</w:t>
          </w:r>
          <w:r>
            <w:fldChar w:fldCharType="end"/>
          </w:r>
          <w:r>
            <w:rPr>
              <w:rFonts w:hint="eastAsia" w:ascii="宋体" w:hAnsi="宋体" w:eastAsia="宋体" w:cs="宋体"/>
              <w:szCs w:val="24"/>
            </w:rPr>
            <w:fldChar w:fldCharType="end"/>
          </w:r>
        </w:p>
        <w:p w14:paraId="38C9D3AE">
          <w:pPr>
            <w:pStyle w:val="18"/>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_Toc21215 </w:instrText>
          </w:r>
          <w:r>
            <w:rPr>
              <w:rFonts w:hint="eastAsia" w:ascii="宋体" w:hAnsi="宋体" w:eastAsia="宋体" w:cs="宋体"/>
              <w:szCs w:val="24"/>
            </w:rPr>
            <w:fldChar w:fldCharType="separate"/>
          </w:r>
          <w:r>
            <w:rPr>
              <w:rFonts w:hint="default"/>
              <w:lang w:val="en-US" w:eastAsia="zh-CN"/>
            </w:rPr>
            <w:t xml:space="preserve">4.1. </w:t>
          </w:r>
          <w:r>
            <w:rPr>
              <w:rFonts w:hint="eastAsia"/>
              <w:lang w:val="en-US" w:eastAsia="zh-CN"/>
            </w:rPr>
            <w:t>备件库经理</w:t>
          </w:r>
          <w:r>
            <w:tab/>
          </w:r>
          <w:r>
            <w:fldChar w:fldCharType="begin"/>
          </w:r>
          <w:r>
            <w:instrText xml:space="preserve"> PAGEREF _Toc21215 \h </w:instrText>
          </w:r>
          <w:r>
            <w:fldChar w:fldCharType="separate"/>
          </w:r>
          <w:r>
            <w:t>4</w:t>
          </w:r>
          <w:r>
            <w:fldChar w:fldCharType="end"/>
          </w:r>
          <w:r>
            <w:rPr>
              <w:rFonts w:hint="eastAsia" w:ascii="宋体" w:hAnsi="宋体" w:eastAsia="宋体" w:cs="宋体"/>
              <w:szCs w:val="24"/>
            </w:rPr>
            <w:fldChar w:fldCharType="end"/>
          </w:r>
        </w:p>
        <w:p w14:paraId="290DB2FB">
          <w:pPr>
            <w:pStyle w:val="18"/>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_Toc10639 </w:instrText>
          </w:r>
          <w:r>
            <w:rPr>
              <w:rFonts w:hint="eastAsia" w:ascii="宋体" w:hAnsi="宋体" w:eastAsia="宋体" w:cs="宋体"/>
              <w:szCs w:val="24"/>
            </w:rPr>
            <w:fldChar w:fldCharType="separate"/>
          </w:r>
          <w:r>
            <w:rPr>
              <w:rFonts w:hint="default"/>
              <w:lang w:val="en-US" w:eastAsia="zh-CN"/>
            </w:rPr>
            <w:t xml:space="preserve">4.2. </w:t>
          </w:r>
          <w:r>
            <w:rPr>
              <w:rFonts w:hint="eastAsia"/>
              <w:lang w:val="en-US" w:eastAsia="zh-CN"/>
            </w:rPr>
            <w:t>备件库管理专员</w:t>
          </w:r>
          <w:r>
            <w:tab/>
          </w:r>
          <w:r>
            <w:fldChar w:fldCharType="begin"/>
          </w:r>
          <w:r>
            <w:instrText xml:space="preserve"> PAGEREF _Toc10639 \h </w:instrText>
          </w:r>
          <w:r>
            <w:fldChar w:fldCharType="separate"/>
          </w:r>
          <w:r>
            <w:t>5</w:t>
          </w:r>
          <w:r>
            <w:fldChar w:fldCharType="end"/>
          </w:r>
          <w:r>
            <w:rPr>
              <w:rFonts w:hint="eastAsia" w:ascii="宋体" w:hAnsi="宋体" w:eastAsia="宋体" w:cs="宋体"/>
              <w:szCs w:val="24"/>
            </w:rPr>
            <w:fldChar w:fldCharType="end"/>
          </w:r>
        </w:p>
        <w:p w14:paraId="590782C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_Toc31526 </w:instrText>
          </w:r>
          <w:r>
            <w:rPr>
              <w:rFonts w:hint="eastAsia" w:ascii="宋体" w:hAnsi="宋体" w:eastAsia="宋体" w:cs="宋体"/>
              <w:szCs w:val="24"/>
            </w:rPr>
            <w:fldChar w:fldCharType="separate"/>
          </w:r>
          <w:r>
            <w:rPr>
              <w:rFonts w:hint="default"/>
              <w:lang w:val="en-US" w:eastAsia="zh-CN"/>
            </w:rPr>
            <w:t xml:space="preserve">5. </w:t>
          </w:r>
          <w:r>
            <w:rPr>
              <w:rFonts w:hint="eastAsia"/>
              <w:lang w:val="en-US" w:eastAsia="zh-CN"/>
            </w:rPr>
            <w:t>备件管理实施</w:t>
          </w:r>
          <w:r>
            <w:tab/>
          </w:r>
          <w:r>
            <w:fldChar w:fldCharType="begin"/>
          </w:r>
          <w:r>
            <w:instrText xml:space="preserve"> PAGEREF _Toc31526 \h </w:instrText>
          </w:r>
          <w:r>
            <w:fldChar w:fldCharType="separate"/>
          </w:r>
          <w:r>
            <w:t>5</w:t>
          </w:r>
          <w:r>
            <w:fldChar w:fldCharType="end"/>
          </w:r>
          <w:r>
            <w:rPr>
              <w:rFonts w:hint="eastAsia" w:ascii="宋体" w:hAnsi="宋体" w:eastAsia="宋体" w:cs="宋体"/>
              <w:szCs w:val="24"/>
            </w:rPr>
            <w:fldChar w:fldCharType="end"/>
          </w:r>
        </w:p>
        <w:p w14:paraId="27B76ADD">
          <w:pPr>
            <w:pStyle w:val="18"/>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_Toc12894 </w:instrText>
          </w:r>
          <w:r>
            <w:rPr>
              <w:rFonts w:hint="eastAsia" w:ascii="宋体" w:hAnsi="宋体" w:eastAsia="宋体" w:cs="宋体"/>
              <w:szCs w:val="24"/>
            </w:rPr>
            <w:fldChar w:fldCharType="separate"/>
          </w:r>
          <w:r>
            <w:rPr>
              <w:rFonts w:hint="default"/>
            </w:rPr>
            <w:t xml:space="preserve">5.1. </w:t>
          </w:r>
          <w:r>
            <w:t>采购管理</w:t>
          </w:r>
          <w:r>
            <w:tab/>
          </w:r>
          <w:r>
            <w:fldChar w:fldCharType="begin"/>
          </w:r>
          <w:r>
            <w:instrText xml:space="preserve"> PAGEREF _Toc12894 \h </w:instrText>
          </w:r>
          <w:r>
            <w:fldChar w:fldCharType="separate"/>
          </w:r>
          <w:r>
            <w:t>5</w:t>
          </w:r>
          <w:r>
            <w:fldChar w:fldCharType="end"/>
          </w:r>
          <w:r>
            <w:rPr>
              <w:rFonts w:hint="eastAsia" w:ascii="宋体" w:hAnsi="宋体" w:eastAsia="宋体" w:cs="宋体"/>
              <w:szCs w:val="24"/>
            </w:rPr>
            <w:fldChar w:fldCharType="end"/>
          </w:r>
        </w:p>
        <w:p w14:paraId="34235B51">
          <w:pPr>
            <w:pStyle w:val="18"/>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_Toc16880 </w:instrText>
          </w:r>
          <w:r>
            <w:rPr>
              <w:rFonts w:hint="eastAsia" w:ascii="宋体" w:hAnsi="宋体" w:eastAsia="宋体" w:cs="宋体"/>
              <w:szCs w:val="24"/>
            </w:rPr>
            <w:fldChar w:fldCharType="separate"/>
          </w:r>
          <w:r>
            <w:rPr>
              <w:rFonts w:hint="default"/>
            </w:rPr>
            <w:t xml:space="preserve">5.2. </w:t>
          </w:r>
          <w:r>
            <w:t>库存管理</w:t>
          </w:r>
          <w:r>
            <w:tab/>
          </w:r>
          <w:r>
            <w:fldChar w:fldCharType="begin"/>
          </w:r>
          <w:r>
            <w:instrText xml:space="preserve"> PAGEREF _Toc16880 \h </w:instrText>
          </w:r>
          <w:r>
            <w:fldChar w:fldCharType="separate"/>
          </w:r>
          <w:r>
            <w:t>6</w:t>
          </w:r>
          <w:r>
            <w:fldChar w:fldCharType="end"/>
          </w:r>
          <w:r>
            <w:rPr>
              <w:rFonts w:hint="eastAsia" w:ascii="宋体" w:hAnsi="宋体" w:eastAsia="宋体" w:cs="宋体"/>
              <w:szCs w:val="24"/>
            </w:rPr>
            <w:fldChar w:fldCharType="end"/>
          </w:r>
        </w:p>
        <w:p w14:paraId="25C0A758">
          <w:pPr>
            <w:pStyle w:val="18"/>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_Toc2042 </w:instrText>
          </w:r>
          <w:r>
            <w:rPr>
              <w:rFonts w:hint="eastAsia" w:ascii="宋体" w:hAnsi="宋体" w:eastAsia="宋体" w:cs="宋体"/>
              <w:szCs w:val="24"/>
            </w:rPr>
            <w:fldChar w:fldCharType="separate"/>
          </w:r>
          <w:r>
            <w:rPr>
              <w:rFonts w:hint="default"/>
            </w:rPr>
            <w:t xml:space="preserve">5.3. </w:t>
          </w:r>
          <w:r>
            <w:rPr>
              <w:rFonts w:hint="eastAsia"/>
              <w:lang w:val="en-US" w:eastAsia="zh-CN"/>
            </w:rPr>
            <w:t>备件</w:t>
          </w:r>
          <w:r>
            <w:t>领用管理</w:t>
          </w:r>
          <w:r>
            <w:tab/>
          </w:r>
          <w:r>
            <w:fldChar w:fldCharType="begin"/>
          </w:r>
          <w:r>
            <w:instrText xml:space="preserve"> PAGEREF _Toc2042 \h </w:instrText>
          </w:r>
          <w:r>
            <w:fldChar w:fldCharType="separate"/>
          </w:r>
          <w:r>
            <w:t>7</w:t>
          </w:r>
          <w:r>
            <w:fldChar w:fldCharType="end"/>
          </w:r>
          <w:r>
            <w:rPr>
              <w:rFonts w:hint="eastAsia" w:ascii="宋体" w:hAnsi="宋体" w:eastAsia="宋体" w:cs="宋体"/>
              <w:szCs w:val="24"/>
            </w:rPr>
            <w:fldChar w:fldCharType="end"/>
          </w:r>
        </w:p>
        <w:p w14:paraId="1CBD34EA">
          <w:pPr>
            <w:pStyle w:val="18"/>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_Toc23115 </w:instrText>
          </w:r>
          <w:r>
            <w:rPr>
              <w:rFonts w:hint="eastAsia" w:ascii="宋体" w:hAnsi="宋体" w:eastAsia="宋体" w:cs="宋体"/>
              <w:szCs w:val="24"/>
            </w:rPr>
            <w:fldChar w:fldCharType="separate"/>
          </w:r>
          <w:r>
            <w:rPr>
              <w:rFonts w:hint="default"/>
            </w:rPr>
            <w:t xml:space="preserve">5.4. </w:t>
          </w:r>
          <w:r>
            <w:t>借用管理</w:t>
          </w:r>
          <w:r>
            <w:tab/>
          </w:r>
          <w:r>
            <w:fldChar w:fldCharType="begin"/>
          </w:r>
          <w:r>
            <w:instrText xml:space="preserve"> PAGEREF _Toc23115 \h </w:instrText>
          </w:r>
          <w:r>
            <w:fldChar w:fldCharType="separate"/>
          </w:r>
          <w:r>
            <w:t>7</w:t>
          </w:r>
          <w:r>
            <w:fldChar w:fldCharType="end"/>
          </w:r>
          <w:r>
            <w:rPr>
              <w:rFonts w:hint="eastAsia" w:ascii="宋体" w:hAnsi="宋体" w:eastAsia="宋体" w:cs="宋体"/>
              <w:szCs w:val="24"/>
            </w:rPr>
            <w:fldChar w:fldCharType="end"/>
          </w:r>
        </w:p>
        <w:p w14:paraId="2515D052">
          <w:pPr>
            <w:pStyle w:val="18"/>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_Toc11776 </w:instrText>
          </w:r>
          <w:r>
            <w:rPr>
              <w:rFonts w:hint="eastAsia" w:ascii="宋体" w:hAnsi="宋体" w:eastAsia="宋体" w:cs="宋体"/>
              <w:szCs w:val="24"/>
            </w:rPr>
            <w:fldChar w:fldCharType="separate"/>
          </w:r>
          <w:r>
            <w:rPr>
              <w:rFonts w:hint="default"/>
            </w:rPr>
            <w:t xml:space="preserve">5.5. </w:t>
          </w:r>
          <w:r>
            <w:t>坏件送修</w:t>
          </w:r>
          <w:r>
            <w:tab/>
          </w:r>
          <w:r>
            <w:fldChar w:fldCharType="begin"/>
          </w:r>
          <w:r>
            <w:instrText xml:space="preserve"> PAGEREF _Toc11776 \h </w:instrText>
          </w:r>
          <w:r>
            <w:fldChar w:fldCharType="separate"/>
          </w:r>
          <w:r>
            <w:t>7</w:t>
          </w:r>
          <w:r>
            <w:fldChar w:fldCharType="end"/>
          </w:r>
          <w:r>
            <w:rPr>
              <w:rFonts w:hint="eastAsia" w:ascii="宋体" w:hAnsi="宋体" w:eastAsia="宋体" w:cs="宋体"/>
              <w:szCs w:val="24"/>
            </w:rPr>
            <w:fldChar w:fldCharType="end"/>
          </w:r>
        </w:p>
        <w:p w14:paraId="3FC12325">
          <w:pPr>
            <w:pStyle w:val="18"/>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_Toc27416 </w:instrText>
          </w:r>
          <w:r>
            <w:rPr>
              <w:rFonts w:hint="eastAsia" w:ascii="宋体" w:hAnsi="宋体" w:eastAsia="宋体" w:cs="宋体"/>
              <w:szCs w:val="24"/>
            </w:rPr>
            <w:fldChar w:fldCharType="separate"/>
          </w:r>
          <w:r>
            <w:rPr>
              <w:rFonts w:hint="default"/>
            </w:rPr>
            <w:t xml:space="preserve">5.6. </w:t>
          </w:r>
          <w:r>
            <w:t>报废管理</w:t>
          </w:r>
          <w:r>
            <w:tab/>
          </w:r>
          <w:r>
            <w:fldChar w:fldCharType="begin"/>
          </w:r>
          <w:r>
            <w:instrText xml:space="preserve"> PAGEREF _Toc27416 \h </w:instrText>
          </w:r>
          <w:r>
            <w:fldChar w:fldCharType="separate"/>
          </w:r>
          <w:r>
            <w:t>8</w:t>
          </w:r>
          <w:r>
            <w:fldChar w:fldCharType="end"/>
          </w:r>
          <w:r>
            <w:rPr>
              <w:rFonts w:hint="eastAsia" w:ascii="宋体" w:hAnsi="宋体" w:eastAsia="宋体" w:cs="宋体"/>
              <w:szCs w:val="24"/>
            </w:rPr>
            <w:fldChar w:fldCharType="end"/>
          </w:r>
        </w:p>
        <w:p w14:paraId="654BFE6F">
          <w:pPr>
            <w:pStyle w:val="18"/>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_Toc667 </w:instrText>
          </w:r>
          <w:r>
            <w:rPr>
              <w:rFonts w:hint="eastAsia" w:ascii="宋体" w:hAnsi="宋体" w:eastAsia="宋体" w:cs="宋体"/>
              <w:szCs w:val="24"/>
            </w:rPr>
            <w:fldChar w:fldCharType="separate"/>
          </w:r>
          <w:r>
            <w:rPr>
              <w:rFonts w:hint="default"/>
              <w:lang w:val="en-US" w:eastAsia="zh-CN"/>
            </w:rPr>
            <w:t xml:space="preserve">5.7. </w:t>
          </w:r>
          <w:r>
            <w:rPr>
              <w:rFonts w:hint="eastAsia"/>
              <w:lang w:val="en-US" w:eastAsia="zh-CN"/>
            </w:rPr>
            <w:t>备件库考核指标</w:t>
          </w:r>
          <w:r>
            <w:tab/>
          </w:r>
          <w:r>
            <w:fldChar w:fldCharType="begin"/>
          </w:r>
          <w:r>
            <w:instrText xml:space="preserve"> PAGEREF _Toc667 \h </w:instrText>
          </w:r>
          <w:r>
            <w:fldChar w:fldCharType="separate"/>
          </w:r>
          <w:r>
            <w:t>8</w:t>
          </w:r>
          <w:r>
            <w:fldChar w:fldCharType="end"/>
          </w:r>
          <w:r>
            <w:rPr>
              <w:rFonts w:hint="eastAsia" w:ascii="宋体" w:hAnsi="宋体" w:eastAsia="宋体" w:cs="宋体"/>
              <w:szCs w:val="24"/>
            </w:rPr>
            <w:fldChar w:fldCharType="end"/>
          </w:r>
        </w:p>
        <w:p w14:paraId="5C3FA087">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_Toc10594 </w:instrText>
          </w:r>
          <w:r>
            <w:rPr>
              <w:rFonts w:hint="eastAsia" w:ascii="宋体" w:hAnsi="宋体" w:eastAsia="宋体" w:cs="宋体"/>
              <w:szCs w:val="24"/>
            </w:rPr>
            <w:fldChar w:fldCharType="separate"/>
          </w:r>
          <w:r>
            <w:rPr>
              <w:rFonts w:hint="default" w:eastAsia="宋体"/>
              <w:lang w:val="en-US" w:eastAsia="zh-CN"/>
            </w:rPr>
            <w:t xml:space="preserve">6. </w:t>
          </w:r>
          <w:r>
            <w:rPr>
              <w:rFonts w:hint="eastAsia" w:eastAsia="宋体"/>
              <w:lang w:val="en-US" w:eastAsia="zh-CN"/>
            </w:rPr>
            <w:t>附则</w:t>
          </w:r>
          <w:r>
            <w:tab/>
          </w:r>
          <w:r>
            <w:fldChar w:fldCharType="begin"/>
          </w:r>
          <w:r>
            <w:instrText xml:space="preserve"> PAGEREF _Toc10594 \h </w:instrText>
          </w:r>
          <w:r>
            <w:fldChar w:fldCharType="separate"/>
          </w:r>
          <w:r>
            <w:t>8</w:t>
          </w:r>
          <w:r>
            <w:fldChar w:fldCharType="end"/>
          </w:r>
          <w:r>
            <w:rPr>
              <w:rFonts w:hint="eastAsia" w:ascii="宋体" w:hAnsi="宋体" w:eastAsia="宋体" w:cs="宋体"/>
              <w:szCs w:val="24"/>
            </w:rPr>
            <w:fldChar w:fldCharType="end"/>
          </w:r>
        </w:p>
        <w:p w14:paraId="218AEC7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_Toc8203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附件</w:t>
          </w:r>
          <w:r>
            <w:tab/>
          </w:r>
          <w:r>
            <w:fldChar w:fldCharType="begin"/>
          </w:r>
          <w:r>
            <w:instrText xml:space="preserve"> PAGEREF _Toc8203 \h </w:instrText>
          </w:r>
          <w:r>
            <w:fldChar w:fldCharType="separate"/>
          </w:r>
          <w:r>
            <w:t>8</w:t>
          </w:r>
          <w:r>
            <w:fldChar w:fldCharType="end"/>
          </w:r>
          <w:r>
            <w:rPr>
              <w:rFonts w:hint="eastAsia" w:ascii="宋体" w:hAnsi="宋体" w:eastAsia="宋体" w:cs="宋体"/>
              <w:szCs w:val="24"/>
            </w:rPr>
            <w:fldChar w:fldCharType="end"/>
          </w:r>
        </w:p>
        <w:p w14:paraId="7F982D3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_Toc8769 </w:instrText>
          </w:r>
          <w:r>
            <w:rPr>
              <w:rFonts w:hint="eastAsia" w:ascii="宋体" w:hAnsi="宋体" w:eastAsia="宋体" w:cs="宋体"/>
              <w:szCs w:val="24"/>
            </w:rPr>
            <w:fldChar w:fldCharType="separate"/>
          </w:r>
          <w:r>
            <w:rPr>
              <w:rFonts w:hint="default"/>
              <w:lang w:val="en-US" w:eastAsia="zh-CN"/>
            </w:rPr>
            <w:t xml:space="preserve">8. </w:t>
          </w:r>
          <w:r>
            <w:rPr>
              <w:rFonts w:hint="eastAsia"/>
              <w:lang w:val="en-US" w:eastAsia="zh-CN"/>
            </w:rPr>
            <w:t>记录</w:t>
          </w:r>
          <w:r>
            <w:tab/>
          </w:r>
          <w:r>
            <w:fldChar w:fldCharType="begin"/>
          </w:r>
          <w:r>
            <w:instrText xml:space="preserve"> PAGEREF _Toc8769 \h </w:instrText>
          </w:r>
          <w:r>
            <w:fldChar w:fldCharType="separate"/>
          </w:r>
          <w:r>
            <w:t>8</w:t>
          </w:r>
          <w:r>
            <w:fldChar w:fldCharType="end"/>
          </w:r>
          <w:r>
            <w:rPr>
              <w:rFonts w:hint="eastAsia" w:ascii="宋体" w:hAnsi="宋体" w:eastAsia="宋体" w:cs="宋体"/>
              <w:szCs w:val="24"/>
            </w:rPr>
            <w:fldChar w:fldCharType="end"/>
          </w:r>
        </w:p>
        <w:p w14:paraId="3BE45B31">
          <w:pPr>
            <w:bidi w:val="0"/>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46398523">
      <w:pPr>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77CD13E6">
      <w:pPr>
        <w:pStyle w:val="30"/>
        <w:bidi w:val="0"/>
      </w:pPr>
      <w:bookmarkStart w:id="2" w:name="_Toc16869"/>
      <w:r>
        <w:t>目的</w:t>
      </w:r>
      <w:bookmarkEnd w:id="2"/>
    </w:p>
    <w:p w14:paraId="0052996E">
      <w:pPr>
        <w:pStyle w:val="31"/>
        <w:bidi w:val="0"/>
      </w:pPr>
      <w:r>
        <w:t>对备件库中的设备进行有效管理，避免出现机房硬件故障而影响到应用系统的正常运行。按照公司运维业务管理的要求，为加强机房备品备件安全库存的集中统一管理，做好备品备件的储备供应工作，充分利用、合理配置备品备件资源，降低库存资金占用及企业运行成本，特制订本制度。</w:t>
      </w:r>
    </w:p>
    <w:p w14:paraId="3F46B2B8">
      <w:pPr>
        <w:pStyle w:val="30"/>
        <w:bidi w:val="0"/>
        <w:rPr>
          <w:rFonts w:hint="eastAsia"/>
          <w:lang w:val="en-US" w:eastAsia="zh-CN"/>
        </w:rPr>
      </w:pPr>
      <w:bookmarkStart w:id="3" w:name="_Toc26247"/>
      <w:r>
        <w:rPr>
          <w:rFonts w:hint="eastAsia"/>
          <w:lang w:val="en-US" w:eastAsia="zh-CN"/>
        </w:rPr>
        <w:t>原则</w:t>
      </w:r>
      <w:bookmarkEnd w:id="3"/>
      <w:bookmarkStart w:id="27" w:name="_GoBack"/>
      <w:bookmarkEnd w:id="27"/>
    </w:p>
    <w:p w14:paraId="2606C852">
      <w:pPr>
        <w:pStyle w:val="31"/>
        <w:numPr>
          <w:ilvl w:val="0"/>
          <w:numId w:val="2"/>
        </w:numPr>
        <w:ind w:left="425" w:leftChars="0" w:hanging="425" w:firstLineChars="0"/>
        <w:rPr>
          <w:rFonts w:hint="eastAsia"/>
          <w:lang w:val="en-US" w:eastAsia="zh-CN"/>
        </w:rPr>
      </w:pPr>
      <w:r>
        <w:rPr>
          <w:rFonts w:hint="eastAsia"/>
          <w:lang w:val="en-US" w:eastAsia="zh-CN"/>
        </w:rPr>
        <w:t>计划先行原则</w:t>
      </w:r>
    </w:p>
    <w:p w14:paraId="3C7D0AEE">
      <w:pPr>
        <w:pStyle w:val="31"/>
        <w:bidi w:val="0"/>
        <w:rPr>
          <w:rFonts w:hint="eastAsia"/>
          <w:lang w:val="en-US" w:eastAsia="zh-CN"/>
        </w:rPr>
      </w:pPr>
      <w:r>
        <w:rPr>
          <w:rFonts w:hint="eastAsia"/>
          <w:lang w:val="en-US" w:eastAsia="zh-CN"/>
        </w:rPr>
        <w:t>备件管理应以科学的预测和计划为基础，根据设备维修、技术改造等需求，制定合理的采购与储备计划，避免盲目性和随意性。</w:t>
      </w:r>
    </w:p>
    <w:p w14:paraId="0833CD80">
      <w:pPr>
        <w:pStyle w:val="31"/>
        <w:numPr>
          <w:ilvl w:val="0"/>
          <w:numId w:val="2"/>
        </w:numPr>
        <w:ind w:left="425" w:leftChars="0" w:hanging="425" w:firstLineChars="0"/>
        <w:rPr>
          <w:rFonts w:hint="eastAsia"/>
          <w:lang w:val="en-US" w:eastAsia="zh-CN"/>
        </w:rPr>
      </w:pPr>
      <w:r>
        <w:rPr>
          <w:rFonts w:hint="eastAsia"/>
          <w:lang w:val="en-US" w:eastAsia="zh-CN"/>
        </w:rPr>
        <w:t>成本控制原则</w:t>
      </w:r>
    </w:p>
    <w:p w14:paraId="6A80BB35">
      <w:pPr>
        <w:pStyle w:val="31"/>
        <w:bidi w:val="0"/>
        <w:rPr>
          <w:rFonts w:hint="eastAsia"/>
          <w:lang w:val="en-US" w:eastAsia="zh-CN"/>
        </w:rPr>
      </w:pPr>
      <w:r>
        <w:rPr>
          <w:rFonts w:hint="eastAsia"/>
          <w:lang w:val="en-US" w:eastAsia="zh-CN"/>
        </w:rPr>
        <w:t>在保证不影响系统正常运行和维修进度的前提下，通过优化库存结构、压缩储备定额、加快资金周转等方式，持续降低备件的管理成本和资金占用。</w:t>
      </w:r>
    </w:p>
    <w:p w14:paraId="2C9A551D">
      <w:pPr>
        <w:pStyle w:val="31"/>
        <w:numPr>
          <w:ilvl w:val="0"/>
          <w:numId w:val="2"/>
        </w:numPr>
        <w:ind w:left="425" w:leftChars="0" w:hanging="425" w:firstLineChars="0"/>
        <w:rPr>
          <w:rFonts w:hint="eastAsia"/>
          <w:lang w:val="en-US" w:eastAsia="zh-CN"/>
        </w:rPr>
      </w:pPr>
      <w:r>
        <w:rPr>
          <w:rFonts w:hint="eastAsia"/>
          <w:lang w:val="en-US" w:eastAsia="zh-CN"/>
        </w:rPr>
        <w:t>保障生产原则</w:t>
      </w:r>
    </w:p>
    <w:p w14:paraId="3D3B7024">
      <w:pPr>
        <w:pStyle w:val="31"/>
        <w:bidi w:val="0"/>
        <w:rPr>
          <w:rFonts w:hint="eastAsia"/>
          <w:lang w:val="en-US" w:eastAsia="zh-CN"/>
        </w:rPr>
      </w:pPr>
      <w:r>
        <w:rPr>
          <w:rFonts w:hint="eastAsia"/>
          <w:lang w:val="en-US" w:eastAsia="zh-CN"/>
        </w:rPr>
        <w:t>备件管理的核心目标是服务于生产与运维，必须确保关键设备维修、紧急抢修及技术改造所需备件的及时、准确供应，保障公司生产经营活动的连续性。</w:t>
      </w:r>
    </w:p>
    <w:p w14:paraId="350EB136">
      <w:pPr>
        <w:pStyle w:val="31"/>
        <w:numPr>
          <w:ilvl w:val="0"/>
          <w:numId w:val="2"/>
        </w:numPr>
        <w:ind w:left="425" w:leftChars="0" w:hanging="425" w:firstLineChars="0"/>
        <w:rPr>
          <w:rFonts w:hint="eastAsia"/>
          <w:lang w:val="en-US" w:eastAsia="zh-CN"/>
        </w:rPr>
      </w:pPr>
      <w:r>
        <w:rPr>
          <w:rFonts w:hint="eastAsia"/>
          <w:lang w:val="en-US" w:eastAsia="zh-CN"/>
        </w:rPr>
        <w:t>全程管理原则</w:t>
      </w:r>
    </w:p>
    <w:p w14:paraId="667D77FF">
      <w:pPr>
        <w:pStyle w:val="31"/>
        <w:bidi w:val="0"/>
        <w:rPr>
          <w:rFonts w:hint="eastAsia"/>
          <w:lang w:val="en-US" w:eastAsia="zh-CN"/>
        </w:rPr>
      </w:pPr>
      <w:r>
        <w:rPr>
          <w:rFonts w:hint="eastAsia"/>
          <w:lang w:val="en-US" w:eastAsia="zh-CN"/>
        </w:rPr>
        <w:t>对备件的需求、计划、采购、验收、仓储、领用、报废等环节实施全生命周期管理，做到账物相符、流程清晰、责任明确。</w:t>
      </w:r>
    </w:p>
    <w:p w14:paraId="238C9AB0">
      <w:pPr>
        <w:pStyle w:val="30"/>
        <w:bidi w:val="0"/>
      </w:pPr>
      <w:bookmarkStart w:id="4" w:name="_Toc3293"/>
      <w:r>
        <w:rPr>
          <w:rFonts w:hint="eastAsia"/>
          <w:lang w:val="en-US" w:eastAsia="zh-CN"/>
        </w:rPr>
        <w:t>适用</w:t>
      </w:r>
      <w:r>
        <w:t>范围</w:t>
      </w:r>
      <w:bookmarkEnd w:id="4"/>
    </w:p>
    <w:p w14:paraId="7C2B19FF">
      <w:pPr>
        <w:pStyle w:val="31"/>
        <w:bidi w:val="0"/>
      </w:pPr>
      <w:r>
        <w:t>适用于公司</w:t>
      </w:r>
      <w:r>
        <w:rPr>
          <w:rFonts w:hint="eastAsia"/>
          <w:lang w:eastAsia="zh-CN"/>
        </w:rPr>
        <w:t>平台运维组</w:t>
      </w:r>
      <w:r>
        <w:t>备品备件库及各项目备品备件库，适用于所有运维机房内的服务器、存储、交换机等信息设备。</w:t>
      </w:r>
    </w:p>
    <w:p w14:paraId="6E8F7741">
      <w:pPr>
        <w:pStyle w:val="30"/>
        <w:bidi w:val="0"/>
        <w:rPr>
          <w:rFonts w:hint="eastAsia"/>
          <w:lang w:val="en-US" w:eastAsia="zh-CN"/>
        </w:rPr>
      </w:pPr>
      <w:bookmarkStart w:id="5" w:name="_Toc28441"/>
      <w:r>
        <w:rPr>
          <w:rFonts w:hint="eastAsia"/>
          <w:lang w:val="en-US" w:eastAsia="zh-CN"/>
        </w:rPr>
        <w:t>岗位职责</w:t>
      </w:r>
      <w:bookmarkEnd w:id="5"/>
    </w:p>
    <w:p w14:paraId="22198DF2">
      <w:pPr>
        <w:pStyle w:val="32"/>
        <w:bidi w:val="0"/>
        <w:rPr>
          <w:rFonts w:hint="default"/>
          <w:lang w:val="en-US" w:eastAsia="zh-CN"/>
        </w:rPr>
      </w:pPr>
      <w:bookmarkStart w:id="6" w:name="_Toc21215"/>
      <w:r>
        <w:rPr>
          <w:rFonts w:hint="eastAsia"/>
          <w:lang w:val="en-US" w:eastAsia="zh-CN"/>
        </w:rPr>
        <w:t>备件库经理</w:t>
      </w:r>
      <w:bookmarkEnd w:id="6"/>
    </w:p>
    <w:p w14:paraId="64539B42">
      <w:pPr>
        <w:pStyle w:val="31"/>
        <w:numPr>
          <w:ilvl w:val="0"/>
          <w:numId w:val="3"/>
        </w:numPr>
        <w:bidi w:val="0"/>
        <w:ind w:left="425" w:leftChars="0" w:hanging="425" w:firstLineChars="0"/>
        <w:rPr>
          <w:rFonts w:hint="eastAsia"/>
          <w:lang w:val="en-US" w:eastAsia="zh-CN"/>
        </w:rPr>
      </w:pPr>
      <w:r>
        <w:rPr>
          <w:rFonts w:hint="eastAsia"/>
          <w:lang w:val="en-US" w:eastAsia="zh-CN"/>
        </w:rPr>
        <w:t>结合库存情况与设备运行状态，科学编制月度、年度备件需求与采购计划</w:t>
      </w:r>
    </w:p>
    <w:p w14:paraId="6D65452F">
      <w:pPr>
        <w:pStyle w:val="31"/>
        <w:numPr>
          <w:ilvl w:val="0"/>
          <w:numId w:val="3"/>
        </w:numPr>
        <w:bidi w:val="0"/>
        <w:ind w:left="425" w:leftChars="0" w:hanging="425" w:firstLineChars="0"/>
        <w:rPr>
          <w:rFonts w:hint="default"/>
          <w:lang w:val="en-US" w:eastAsia="zh-CN"/>
        </w:rPr>
      </w:pPr>
      <w:r>
        <w:rPr>
          <w:rFonts w:hint="eastAsia"/>
          <w:lang w:val="en-US" w:eastAsia="zh-CN"/>
        </w:rPr>
        <w:t>负责监督备件库进度</w:t>
      </w:r>
    </w:p>
    <w:p w14:paraId="34A5B637">
      <w:pPr>
        <w:pStyle w:val="32"/>
        <w:bidi w:val="0"/>
        <w:rPr>
          <w:rFonts w:hint="eastAsia"/>
          <w:lang w:val="en-US" w:eastAsia="zh-CN"/>
        </w:rPr>
      </w:pPr>
      <w:bookmarkStart w:id="7" w:name="_Toc10639"/>
      <w:r>
        <w:rPr>
          <w:rFonts w:hint="eastAsia"/>
          <w:lang w:val="en-US" w:eastAsia="zh-CN"/>
        </w:rPr>
        <w:t>备件库管理专员</w:t>
      </w:r>
      <w:bookmarkEnd w:id="7"/>
    </w:p>
    <w:p w14:paraId="77AEA5BC">
      <w:pPr>
        <w:pStyle w:val="31"/>
        <w:numPr>
          <w:ilvl w:val="0"/>
          <w:numId w:val="4"/>
        </w:numPr>
        <w:ind w:left="425" w:leftChars="0" w:hanging="425" w:firstLineChars="0"/>
        <w:rPr>
          <w:rFonts w:hint="eastAsia"/>
          <w:lang w:val="en-US" w:eastAsia="zh-CN"/>
        </w:rPr>
      </w:pPr>
      <w:r>
        <w:rPr>
          <w:rFonts w:hint="eastAsia"/>
          <w:lang w:val="en-US" w:eastAsia="zh-CN"/>
        </w:rPr>
        <w:t>负责接收、汇总并审核各部门提交的维修配件需求。</w:t>
      </w:r>
    </w:p>
    <w:p w14:paraId="743E9246">
      <w:pPr>
        <w:pStyle w:val="31"/>
        <w:numPr>
          <w:ilvl w:val="0"/>
          <w:numId w:val="4"/>
        </w:numPr>
        <w:ind w:left="425" w:leftChars="0" w:hanging="425" w:firstLineChars="0"/>
        <w:rPr>
          <w:rFonts w:hint="eastAsia"/>
          <w:lang w:val="en-US" w:eastAsia="zh-CN"/>
        </w:rPr>
      </w:pPr>
      <w:r>
        <w:rPr>
          <w:rFonts w:hint="eastAsia"/>
          <w:lang w:val="en-US" w:eastAsia="zh-CN"/>
        </w:rPr>
        <w:t>定期对库存备件进行查询、盘点与状态评估，确保库存数据准确无误，及时报告呆滞、失效备件并提出处理建议。</w:t>
      </w:r>
    </w:p>
    <w:p w14:paraId="000A2BDF">
      <w:pPr>
        <w:pStyle w:val="31"/>
        <w:numPr>
          <w:ilvl w:val="0"/>
          <w:numId w:val="4"/>
        </w:numPr>
        <w:ind w:left="425" w:leftChars="0" w:hanging="425" w:firstLineChars="0"/>
        <w:rPr>
          <w:rFonts w:hint="eastAsia"/>
          <w:lang w:val="en-US" w:eastAsia="zh-CN"/>
        </w:rPr>
      </w:pPr>
      <w:r>
        <w:rPr>
          <w:rFonts w:hint="eastAsia"/>
          <w:lang w:val="en-US" w:eastAsia="zh-CN"/>
        </w:rPr>
        <w:t>根据采购计划和市场价格，每月编制备件采购预算草案，并按时提交至相关部门审核。</w:t>
      </w:r>
    </w:p>
    <w:p w14:paraId="6941A270">
      <w:pPr>
        <w:pStyle w:val="31"/>
        <w:numPr>
          <w:ilvl w:val="0"/>
          <w:numId w:val="4"/>
        </w:numPr>
        <w:ind w:left="425" w:leftChars="0" w:hanging="425" w:firstLineChars="0"/>
        <w:rPr>
          <w:rFonts w:hint="eastAsia"/>
          <w:lang w:val="en-US" w:eastAsia="zh-CN"/>
        </w:rPr>
      </w:pPr>
      <w:r>
        <w:rPr>
          <w:rFonts w:hint="eastAsia"/>
          <w:lang w:val="en-US" w:eastAsia="zh-CN"/>
        </w:rPr>
        <w:t>协助采购部执行采购计划，跟踪采购订单状态，确保备件按时到货，并参与重要备件的验收工作。</w:t>
      </w:r>
    </w:p>
    <w:p w14:paraId="3C3AA008">
      <w:pPr>
        <w:pStyle w:val="31"/>
        <w:numPr>
          <w:ilvl w:val="0"/>
          <w:numId w:val="4"/>
        </w:numPr>
        <w:ind w:left="425" w:leftChars="0" w:hanging="425" w:firstLineChars="0"/>
        <w:rPr>
          <w:rFonts w:hint="eastAsia"/>
          <w:lang w:val="en-US" w:eastAsia="zh-CN"/>
        </w:rPr>
      </w:pPr>
      <w:r>
        <w:rPr>
          <w:rFonts w:hint="eastAsia"/>
          <w:lang w:val="en-US" w:eastAsia="zh-CN"/>
        </w:rPr>
        <w:t>负责备件的入库、编码、存放、保管、出库工作，推行库房6S管理，优化库存布局，在保障供应的前提下积极提出降低库存水平的合理化建议。</w:t>
      </w:r>
    </w:p>
    <w:p w14:paraId="3BF61770">
      <w:pPr>
        <w:pStyle w:val="30"/>
        <w:bidi w:val="0"/>
        <w:rPr>
          <w:rFonts w:hint="default"/>
          <w:lang w:val="en-US" w:eastAsia="zh-CN"/>
        </w:rPr>
      </w:pPr>
      <w:bookmarkStart w:id="8" w:name="_Toc31526"/>
      <w:r>
        <w:rPr>
          <w:rFonts w:hint="eastAsia"/>
          <w:lang w:val="en-US" w:eastAsia="zh-CN"/>
        </w:rPr>
        <w:t>备件管理实施</w:t>
      </w:r>
      <w:bookmarkEnd w:id="8"/>
    </w:p>
    <w:p w14:paraId="75E9E0C5">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76" w:firstLineChars="200"/>
        <w:jc w:val="both"/>
        <w:textAlignment w:val="baseline"/>
        <w:rPr>
          <w:rFonts w:ascii="宋体" w:hAnsi="宋体" w:eastAsia="宋体" w:cs="宋体"/>
          <w:spacing w:val="-1"/>
          <w:sz w:val="24"/>
          <w:szCs w:val="24"/>
        </w:rPr>
      </w:pPr>
      <w:r>
        <w:rPr>
          <w:rFonts w:hint="eastAsia" w:ascii="宋体" w:hAnsi="宋体" w:eastAsia="宋体" w:cs="宋体"/>
          <w:spacing w:val="-1"/>
          <w:sz w:val="24"/>
          <w:szCs w:val="24"/>
          <w:lang w:val="en-US" w:eastAsia="zh-CN"/>
        </w:rPr>
        <w:t>备件库管理主要分为</w:t>
      </w:r>
      <w:r>
        <w:rPr>
          <w:rFonts w:ascii="宋体" w:hAnsi="宋体" w:eastAsia="宋体" w:cs="宋体"/>
          <w:spacing w:val="-1"/>
          <w:sz w:val="24"/>
          <w:szCs w:val="24"/>
        </w:rPr>
        <w:t>备件的采购、库存管理、领用、调拨、借用、送修及报废共六个管理流程。</w:t>
      </w:r>
    </w:p>
    <w:p w14:paraId="7C4E8FF0">
      <w:pPr>
        <w:pStyle w:val="32"/>
        <w:bidi w:val="0"/>
      </w:pPr>
      <w:bookmarkStart w:id="9" w:name="_Toc29204"/>
      <w:bookmarkStart w:id="10" w:name="_Toc12894"/>
      <w:r>
        <w:t>采购管理</w:t>
      </w:r>
      <w:bookmarkEnd w:id="9"/>
      <w:bookmarkEnd w:id="10"/>
    </w:p>
    <w:p w14:paraId="215E5674">
      <w:pPr>
        <w:keepNext w:val="0"/>
        <w:keepLines w:val="0"/>
        <w:pageBreakBefore w:val="0"/>
        <w:widowControl/>
        <w:numPr>
          <w:ilvl w:val="0"/>
          <w:numId w:val="5"/>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2"/>
          <w:sz w:val="24"/>
          <w:szCs w:val="24"/>
        </w:rPr>
        <w:t>年度备品备件采购</w:t>
      </w:r>
    </w:p>
    <w:p w14:paraId="04CBAB13">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76" w:firstLineChars="200"/>
        <w:textAlignment w:val="baseline"/>
        <w:rPr>
          <w:rFonts w:ascii="宋体" w:hAnsi="宋体" w:eastAsia="宋体" w:cs="宋体"/>
          <w:sz w:val="24"/>
          <w:szCs w:val="24"/>
        </w:rPr>
      </w:pPr>
      <w:r>
        <w:rPr>
          <w:rFonts w:hint="eastAsia" w:ascii="宋体" w:hAnsi="宋体" w:eastAsia="宋体" w:cs="宋体"/>
          <w:spacing w:val="-1"/>
          <w:sz w:val="24"/>
          <w:szCs w:val="24"/>
          <w:lang w:val="en-US" w:eastAsia="zh-CN"/>
        </w:rPr>
        <w:t>平台运维组</w:t>
      </w:r>
      <w:r>
        <w:rPr>
          <w:rFonts w:ascii="宋体" w:hAnsi="宋体" w:eastAsia="宋体" w:cs="宋体"/>
          <w:spacing w:val="-1"/>
          <w:sz w:val="24"/>
          <w:szCs w:val="24"/>
        </w:rPr>
        <w:t>根据设备运行情况</w:t>
      </w:r>
      <w:r>
        <w:rPr>
          <w:rFonts w:hint="eastAsia" w:ascii="宋体" w:hAnsi="宋体" w:eastAsia="宋体" w:cs="宋体"/>
          <w:spacing w:val="-1"/>
          <w:sz w:val="24"/>
          <w:szCs w:val="24"/>
          <w:lang w:eastAsia="zh-CN"/>
        </w:rPr>
        <w:t>，</w:t>
      </w:r>
      <w:r>
        <w:rPr>
          <w:rFonts w:ascii="宋体" w:hAnsi="宋体" w:eastAsia="宋体" w:cs="宋体"/>
          <w:spacing w:val="-4"/>
          <w:sz w:val="24"/>
          <w:szCs w:val="24"/>
        </w:rPr>
        <w:t>制定年度备品备件采购计划。</w:t>
      </w:r>
    </w:p>
    <w:p w14:paraId="653A259D">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76" w:firstLineChars="200"/>
        <w:textAlignment w:val="baseline"/>
        <w:rPr>
          <w:rFonts w:ascii="宋体" w:hAnsi="宋体" w:eastAsia="宋体" w:cs="宋体"/>
          <w:sz w:val="24"/>
          <w:szCs w:val="24"/>
        </w:rPr>
      </w:pPr>
      <w:r>
        <w:rPr>
          <w:rFonts w:ascii="宋体" w:hAnsi="宋体" w:eastAsia="宋体" w:cs="宋体"/>
          <w:spacing w:val="-1"/>
          <w:sz w:val="24"/>
          <w:szCs w:val="24"/>
        </w:rPr>
        <w:t>年度备品备件采购计划通过公司审批后，交由采购部统一进行</w:t>
      </w:r>
      <w:r>
        <w:rPr>
          <w:rFonts w:ascii="宋体" w:hAnsi="宋体" w:eastAsia="宋体" w:cs="宋体"/>
          <w:spacing w:val="-12"/>
          <w:sz w:val="24"/>
          <w:szCs w:val="24"/>
        </w:rPr>
        <w:t>采购。</w:t>
      </w:r>
    </w:p>
    <w:p w14:paraId="567D09F2">
      <w:pPr>
        <w:keepNext w:val="0"/>
        <w:keepLines w:val="0"/>
        <w:pageBreakBefore w:val="0"/>
        <w:widowControl/>
        <w:numPr>
          <w:ilvl w:val="0"/>
          <w:numId w:val="5"/>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2"/>
          <w:sz w:val="24"/>
          <w:szCs w:val="24"/>
        </w:rPr>
        <w:t>项目备品备件采购</w:t>
      </w:r>
    </w:p>
    <w:p w14:paraId="0B92B5F1">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68" w:firstLineChars="200"/>
        <w:textAlignment w:val="baseline"/>
        <w:rPr>
          <w:rFonts w:ascii="宋体" w:hAnsi="宋体" w:eastAsia="宋体" w:cs="宋体"/>
          <w:sz w:val="24"/>
          <w:szCs w:val="24"/>
        </w:rPr>
      </w:pPr>
      <w:r>
        <w:rPr>
          <w:rFonts w:hint="eastAsia" w:ascii="宋体" w:hAnsi="宋体" w:eastAsia="宋体" w:cs="宋体"/>
          <w:spacing w:val="-3"/>
          <w:sz w:val="24"/>
          <w:szCs w:val="24"/>
          <w:lang w:val="en-US" w:eastAsia="zh-CN"/>
        </w:rPr>
        <w:t>运维项目经理</w:t>
      </w:r>
      <w:r>
        <w:rPr>
          <w:rFonts w:ascii="宋体" w:hAnsi="宋体" w:eastAsia="宋体" w:cs="宋体"/>
          <w:spacing w:val="-3"/>
          <w:sz w:val="24"/>
          <w:szCs w:val="24"/>
        </w:rPr>
        <w:t>根据合同要求，制定服务期内的备品备件采购计划，</w:t>
      </w:r>
      <w:r>
        <w:rPr>
          <w:rFonts w:ascii="宋体" w:hAnsi="宋体" w:eastAsia="宋体" w:cs="宋体"/>
          <w:spacing w:val="-6"/>
          <w:sz w:val="24"/>
          <w:szCs w:val="24"/>
        </w:rPr>
        <w:t>并上报</w:t>
      </w:r>
      <w:r>
        <w:rPr>
          <w:rFonts w:hint="eastAsia" w:ascii="宋体" w:hAnsi="宋体" w:eastAsia="宋体" w:cs="宋体"/>
          <w:spacing w:val="-6"/>
          <w:sz w:val="24"/>
          <w:szCs w:val="24"/>
          <w:lang w:eastAsia="zh-CN"/>
        </w:rPr>
        <w:t>平台运维组</w:t>
      </w:r>
      <w:r>
        <w:rPr>
          <w:rFonts w:ascii="宋体" w:hAnsi="宋体" w:eastAsia="宋体" w:cs="宋体"/>
          <w:spacing w:val="-6"/>
          <w:sz w:val="24"/>
          <w:szCs w:val="24"/>
        </w:rPr>
        <w:t>。</w:t>
      </w:r>
      <w:r>
        <w:rPr>
          <w:rFonts w:ascii="宋体" w:hAnsi="宋体" w:eastAsia="宋体" w:cs="宋体"/>
          <w:spacing w:val="-3"/>
          <w:sz w:val="24"/>
          <w:szCs w:val="24"/>
        </w:rPr>
        <w:t>经</w:t>
      </w:r>
      <w:r>
        <w:rPr>
          <w:rFonts w:hint="eastAsia" w:ascii="宋体" w:hAnsi="宋体" w:eastAsia="宋体" w:cs="宋体"/>
          <w:spacing w:val="-3"/>
          <w:sz w:val="24"/>
          <w:szCs w:val="24"/>
          <w:lang w:eastAsia="zh-CN"/>
        </w:rPr>
        <w:t>平台运维组</w:t>
      </w:r>
      <w:r>
        <w:rPr>
          <w:rFonts w:ascii="宋体" w:hAnsi="宋体" w:eastAsia="宋体" w:cs="宋体"/>
          <w:spacing w:val="-3"/>
          <w:sz w:val="24"/>
          <w:szCs w:val="24"/>
        </w:rPr>
        <w:t>审批通过后，报公司审批。</w:t>
      </w:r>
    </w:p>
    <w:p w14:paraId="1C2785B3">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76" w:firstLineChars="200"/>
        <w:textAlignment w:val="baseline"/>
        <w:rPr>
          <w:rFonts w:ascii="宋体" w:hAnsi="宋体" w:eastAsia="宋体" w:cs="宋体"/>
          <w:sz w:val="24"/>
          <w:szCs w:val="24"/>
        </w:rPr>
      </w:pPr>
      <w:r>
        <w:rPr>
          <w:rFonts w:ascii="宋体" w:hAnsi="宋体" w:eastAsia="宋体" w:cs="宋体"/>
          <w:spacing w:val="-1"/>
          <w:sz w:val="24"/>
          <w:szCs w:val="24"/>
        </w:rPr>
        <w:t>审批通过后的项目备品备件采购计划交由采购部统一采购，并</w:t>
      </w:r>
      <w:r>
        <w:rPr>
          <w:rFonts w:ascii="宋体" w:hAnsi="宋体" w:eastAsia="宋体" w:cs="宋体"/>
          <w:spacing w:val="-7"/>
          <w:sz w:val="24"/>
          <w:szCs w:val="24"/>
        </w:rPr>
        <w:t>发往现场。</w:t>
      </w:r>
    </w:p>
    <w:p w14:paraId="052F3C3B">
      <w:pPr>
        <w:keepNext w:val="0"/>
        <w:keepLines w:val="0"/>
        <w:pageBreakBefore w:val="0"/>
        <w:widowControl/>
        <w:numPr>
          <w:ilvl w:val="0"/>
          <w:numId w:val="5"/>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5"/>
          <w:sz w:val="24"/>
          <w:szCs w:val="24"/>
        </w:rPr>
        <w:t>临时采购</w:t>
      </w:r>
    </w:p>
    <w:p w14:paraId="1E8C905C">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76" w:firstLineChars="200"/>
        <w:textAlignment w:val="baseline"/>
        <w:rPr>
          <w:rFonts w:ascii="宋体" w:hAnsi="宋体" w:eastAsia="宋体" w:cs="宋体"/>
          <w:sz w:val="24"/>
          <w:szCs w:val="24"/>
        </w:rPr>
      </w:pPr>
      <w:r>
        <w:rPr>
          <w:rFonts w:ascii="宋体" w:hAnsi="宋体" w:eastAsia="宋体" w:cs="宋体"/>
          <w:spacing w:val="-1"/>
          <w:sz w:val="24"/>
          <w:szCs w:val="24"/>
        </w:rPr>
        <w:t>当备品备件全部使用完或者出现故障无备品备件可用时</w:t>
      </w:r>
      <w:r>
        <w:rPr>
          <w:rFonts w:ascii="宋体" w:hAnsi="宋体" w:eastAsia="宋体" w:cs="宋体"/>
          <w:spacing w:val="-2"/>
          <w:sz w:val="24"/>
          <w:szCs w:val="24"/>
        </w:rPr>
        <w:t>，由</w:t>
      </w:r>
      <w:r>
        <w:rPr>
          <w:rFonts w:hint="eastAsia" w:ascii="宋体" w:hAnsi="宋体" w:eastAsia="宋体" w:cs="宋体"/>
          <w:spacing w:val="-2"/>
          <w:sz w:val="24"/>
          <w:szCs w:val="24"/>
          <w:lang w:val="en-US" w:eastAsia="zh-CN"/>
        </w:rPr>
        <w:t>运维项目经理</w:t>
      </w:r>
      <w:r>
        <w:rPr>
          <w:rFonts w:ascii="宋体" w:hAnsi="宋体" w:eastAsia="宋体" w:cs="宋体"/>
          <w:spacing w:val="-4"/>
          <w:sz w:val="24"/>
          <w:szCs w:val="24"/>
        </w:rPr>
        <w:t>向</w:t>
      </w:r>
      <w:r>
        <w:rPr>
          <w:rFonts w:hint="eastAsia" w:ascii="宋体" w:hAnsi="宋体" w:eastAsia="宋体" w:cs="宋体"/>
          <w:spacing w:val="-4"/>
          <w:sz w:val="24"/>
          <w:szCs w:val="24"/>
          <w:lang w:eastAsia="zh-CN"/>
        </w:rPr>
        <w:t>平台运维组</w:t>
      </w:r>
      <w:r>
        <w:rPr>
          <w:rFonts w:ascii="宋体" w:hAnsi="宋体" w:eastAsia="宋体" w:cs="宋体"/>
          <w:spacing w:val="-4"/>
          <w:sz w:val="24"/>
          <w:szCs w:val="24"/>
        </w:rPr>
        <w:t>提出备品备件购买申请，并填写采购审批表。</w:t>
      </w:r>
      <w:r>
        <w:rPr>
          <w:rFonts w:ascii="宋体" w:hAnsi="宋体" w:eastAsia="宋体" w:cs="宋体"/>
          <w:spacing w:val="-3"/>
          <w:sz w:val="24"/>
          <w:szCs w:val="24"/>
        </w:rPr>
        <w:t>费用审批表审批通过后，交由采购部进行采</w:t>
      </w:r>
      <w:r>
        <w:rPr>
          <w:rFonts w:ascii="宋体" w:hAnsi="宋体" w:eastAsia="宋体" w:cs="宋体"/>
          <w:spacing w:val="-4"/>
          <w:sz w:val="24"/>
          <w:szCs w:val="24"/>
        </w:rPr>
        <w:t>购。</w:t>
      </w:r>
    </w:p>
    <w:p w14:paraId="67956924">
      <w:pPr>
        <w:pStyle w:val="32"/>
        <w:bidi w:val="0"/>
      </w:pPr>
      <w:bookmarkStart w:id="11" w:name="_Toc16880"/>
      <w:bookmarkStart w:id="12" w:name="_Toc26518"/>
      <w:r>
        <w:t>库存管理</w:t>
      </w:r>
      <w:bookmarkEnd w:id="11"/>
      <w:bookmarkEnd w:id="12"/>
    </w:p>
    <w:p w14:paraId="2D433409">
      <w:pPr>
        <w:pStyle w:val="31"/>
        <w:numPr>
          <w:ilvl w:val="0"/>
          <w:numId w:val="6"/>
        </w:numPr>
        <w:bidi w:val="0"/>
        <w:ind w:left="425" w:leftChars="0" w:hanging="425" w:firstLineChars="0"/>
        <w:rPr>
          <w:rFonts w:hint="eastAsia"/>
          <w:lang w:eastAsia="zh-CN"/>
        </w:rPr>
      </w:pPr>
      <w:r>
        <w:rPr>
          <w:rFonts w:hint="eastAsia"/>
          <w:lang w:eastAsia="zh-CN"/>
        </w:rPr>
        <w:t>平台运维组领用备品备件后，应规范有序地分级存放到各存放点，分门别类地存放到指定位置，为便于备件的清理、查找和使用，要求按备件类别进行详细归类，备件上的资产编号、型号、名称、序列号等标识应齐全。平台运维组应建立备品备件出入库备查簿、对备品备件的规格、数量、来源、出入库原因、去向、出库数量、结存数量等进行逐一登记。严格按制度执行备品备件的出入库的清点、移交、双方签收填报，并及时建账入库。</w:t>
      </w:r>
    </w:p>
    <w:p w14:paraId="297FDF90">
      <w:pPr>
        <w:pStyle w:val="31"/>
        <w:numPr>
          <w:ilvl w:val="0"/>
          <w:numId w:val="6"/>
        </w:numPr>
        <w:bidi w:val="0"/>
        <w:ind w:left="425" w:leftChars="0" w:hanging="425" w:firstLineChars="0"/>
        <w:rPr>
          <w:rFonts w:hint="eastAsia"/>
          <w:lang w:eastAsia="zh-CN"/>
        </w:rPr>
      </w:pPr>
      <w:r>
        <w:rPr>
          <w:rFonts w:hint="eastAsia"/>
          <w:lang w:eastAsia="zh-CN"/>
        </w:rPr>
        <w:t>库存备件应做到账、卡、物相符，记账及时准确。各备件库房应建立备品备件定期盘点制度，对库存备品备件和在用备品备件的数量和种类进行统计，盘点结果上报公司，做到台账和实物相符。</w:t>
      </w:r>
    </w:p>
    <w:p w14:paraId="50D8C6F9">
      <w:pPr>
        <w:pStyle w:val="31"/>
        <w:numPr>
          <w:ilvl w:val="0"/>
          <w:numId w:val="6"/>
        </w:numPr>
        <w:bidi w:val="0"/>
        <w:ind w:left="425" w:leftChars="0" w:hanging="425" w:firstLineChars="0"/>
        <w:rPr>
          <w:rFonts w:hint="eastAsia"/>
          <w:lang w:eastAsia="zh-CN"/>
        </w:rPr>
      </w:pPr>
      <w:r>
        <w:rPr>
          <w:rFonts w:hint="eastAsia"/>
          <w:lang w:eastAsia="zh-CN"/>
        </w:rPr>
        <w:t>盘点流程：进行库房盘点时，备件库管理专员先根据盘点计划进行实物盘点，生成实物盘点清单并与备品备件存量清单对比，如果没有差异记录盘点结果、盘点人和盘点时间等信息；如果有差异生成差异对比表，备件库管理专员将。将差异对比表和盘点结果上报给领导审核，领导审核通过后发送库存盘点差异处理意见给库房管理员，备件库管理专员按差异处理意见对库存做盘亏或盘盈处理并上报</w:t>
      </w:r>
      <w:r>
        <w:rPr>
          <w:rFonts w:hint="eastAsia"/>
          <w:lang w:val="en-US" w:eastAsia="zh-CN"/>
        </w:rPr>
        <w:t>平台运维组经理</w:t>
      </w:r>
      <w:r>
        <w:rPr>
          <w:rFonts w:hint="eastAsia"/>
          <w:lang w:eastAsia="zh-CN"/>
        </w:rPr>
        <w:t>；如果审核没有通过，领导填写原因后将差异对比表和盘点结果退回给备件库管理专员，由备件库管理专员重新做差异对比表后再次上报。</w:t>
      </w:r>
    </w:p>
    <w:p w14:paraId="50FA2343">
      <w:pPr>
        <w:pStyle w:val="31"/>
        <w:numPr>
          <w:ilvl w:val="0"/>
          <w:numId w:val="6"/>
        </w:numPr>
        <w:bidi w:val="0"/>
        <w:ind w:left="425" w:leftChars="0" w:hanging="425" w:firstLineChars="0"/>
        <w:rPr>
          <w:rFonts w:hint="eastAsia"/>
          <w:lang w:eastAsia="zh-CN"/>
        </w:rPr>
      </w:pPr>
      <w:r>
        <w:rPr>
          <w:rFonts w:hint="eastAsia"/>
          <w:lang w:eastAsia="zh-CN"/>
        </w:rPr>
        <w:t>备品备件库应对在用备品备件进行跟踪，加快回收速度，提高备品备件的周转率。对坏件及时送修，保证库存可用备件的数量。</w:t>
      </w:r>
    </w:p>
    <w:p w14:paraId="21D543C9">
      <w:pPr>
        <w:pStyle w:val="31"/>
        <w:numPr>
          <w:ilvl w:val="0"/>
          <w:numId w:val="6"/>
        </w:numPr>
        <w:bidi w:val="0"/>
        <w:ind w:left="425" w:leftChars="0" w:hanging="425" w:firstLineChars="0"/>
        <w:rPr>
          <w:rFonts w:hint="eastAsia"/>
          <w:lang w:eastAsia="zh-CN"/>
        </w:rPr>
      </w:pPr>
      <w:r>
        <w:rPr>
          <w:rFonts w:hint="eastAsia"/>
          <w:lang w:eastAsia="zh-CN"/>
        </w:rPr>
        <w:t>备品备件库应每季度组织人员对备品备件配置、保管、使用、维护、报废、空间摆放、环境清洁等情况进行检查并进行考核记录，对备品备件的性能进行检测鉴定，保证库存备品备件完好可用。</w:t>
      </w:r>
    </w:p>
    <w:p w14:paraId="1F6F5213">
      <w:pPr>
        <w:pStyle w:val="31"/>
        <w:numPr>
          <w:ilvl w:val="0"/>
          <w:numId w:val="6"/>
        </w:numPr>
        <w:bidi w:val="0"/>
        <w:ind w:left="425" w:leftChars="0" w:hanging="425" w:firstLineChars="0"/>
        <w:rPr>
          <w:rFonts w:hint="eastAsia"/>
          <w:lang w:eastAsia="zh-CN"/>
        </w:rPr>
      </w:pPr>
      <w:r>
        <w:rPr>
          <w:rFonts w:hint="eastAsia"/>
          <w:lang w:eastAsia="zh-CN"/>
        </w:rPr>
        <w:t>了解库存备品备件的轻重缓急、使用周期、用量、通用情况、制造周期等，指导使用部门有计划、有步骤的采购，避免造成不必要的积压。</w:t>
      </w:r>
    </w:p>
    <w:p w14:paraId="47C26D2B">
      <w:pPr>
        <w:pStyle w:val="32"/>
        <w:bidi w:val="0"/>
      </w:pPr>
      <w:bookmarkStart w:id="13" w:name="_Toc10940"/>
      <w:bookmarkStart w:id="14" w:name="_Toc2042"/>
      <w:r>
        <w:rPr>
          <w:rFonts w:hint="eastAsia"/>
          <w:lang w:val="en-US" w:eastAsia="zh-CN"/>
        </w:rPr>
        <w:t>备件</w:t>
      </w:r>
      <w:r>
        <w:t>领用管理</w:t>
      </w:r>
      <w:bookmarkEnd w:id="13"/>
      <w:bookmarkEnd w:id="14"/>
    </w:p>
    <w:p w14:paraId="2E380475">
      <w:pPr>
        <w:pStyle w:val="31"/>
        <w:bidi w:val="0"/>
      </w:pPr>
      <w:r>
        <w:t>由</w:t>
      </w:r>
      <w:r>
        <w:rPr>
          <w:rFonts w:hint="eastAsia"/>
          <w:lang w:val="en-US" w:eastAsia="zh-CN"/>
        </w:rPr>
        <w:t>运维</w:t>
      </w:r>
      <w:r>
        <w:t>人员提出备件领用申请，并进行登记，当领用的备件作为测试或更换网上设备的故障件时，在使用完或更换回的坏件后进入领用返回流程，入库的坏件进入送修或报废流程。</w:t>
      </w:r>
    </w:p>
    <w:p w14:paraId="013F8A53">
      <w:pPr>
        <w:pStyle w:val="32"/>
        <w:bidi w:val="0"/>
      </w:pPr>
      <w:bookmarkStart w:id="15" w:name="_Toc23115"/>
      <w:bookmarkStart w:id="16" w:name="_Toc12470"/>
      <w:r>
        <w:t>借用管理</w:t>
      </w:r>
      <w:bookmarkEnd w:id="15"/>
      <w:bookmarkEnd w:id="16"/>
    </w:p>
    <w:p w14:paraId="131DA07B">
      <w:pPr>
        <w:pStyle w:val="31"/>
        <w:numPr>
          <w:ilvl w:val="0"/>
          <w:numId w:val="7"/>
        </w:numPr>
        <w:bidi w:val="0"/>
        <w:ind w:left="425" w:leftChars="0" w:hanging="425" w:firstLineChars="0"/>
      </w:pPr>
      <w:r>
        <w:t>借用：由借入方发起调拨申请，</w:t>
      </w:r>
      <w:r>
        <w:rPr>
          <w:rFonts w:hint="eastAsia"/>
          <w:lang w:eastAsia="zh-CN"/>
        </w:rPr>
        <w:t>平台运维组</w:t>
      </w:r>
      <w:r>
        <w:t>审核通过后，将申请转发到借出方，借出方按申请单的内容对备件进行出库，借入方在收到备件后进行核对和确认。完成借用手续后，需在规定时间内归还原备件或型号相同的好备件，进入还备件流程。</w:t>
      </w:r>
    </w:p>
    <w:p w14:paraId="4D26CF20">
      <w:pPr>
        <w:pStyle w:val="31"/>
        <w:numPr>
          <w:ilvl w:val="0"/>
          <w:numId w:val="7"/>
        </w:numPr>
        <w:bidi w:val="0"/>
        <w:ind w:left="425" w:leftChars="0" w:hanging="425" w:firstLineChars="0"/>
      </w:pPr>
      <w:r>
        <w:t>还备件流程：借入方在规定的时间内对借用备件进行归还，可选择原备件或型号相同的好备件进行出库，借出方在收到备件后进行核对和确认。</w:t>
      </w:r>
    </w:p>
    <w:p w14:paraId="6279ED06">
      <w:pPr>
        <w:pStyle w:val="31"/>
        <w:numPr>
          <w:ilvl w:val="0"/>
          <w:numId w:val="7"/>
        </w:numPr>
        <w:bidi w:val="0"/>
        <w:ind w:left="425" w:leftChars="0" w:hanging="425" w:firstLineChars="0"/>
      </w:pPr>
      <w:r>
        <w:t>原则上由借入方的相关部门负责借用及返回流程中备件的物流配送。</w:t>
      </w:r>
    </w:p>
    <w:p w14:paraId="5F8DC2E4">
      <w:pPr>
        <w:pStyle w:val="32"/>
        <w:bidi w:val="0"/>
      </w:pPr>
      <w:bookmarkStart w:id="17" w:name="_Toc11776"/>
      <w:r>
        <w:t>坏件送修</w:t>
      </w:r>
      <w:bookmarkEnd w:id="17"/>
    </w:p>
    <w:p w14:paraId="49C042E8">
      <w:pPr>
        <w:pStyle w:val="31"/>
        <w:bidi w:val="0"/>
      </w:pPr>
      <w:r>
        <w:t>设备发生故障需要送修，由</w:t>
      </w:r>
      <w:r>
        <w:rPr>
          <w:rFonts w:hint="eastAsia"/>
          <w:lang w:val="en-US" w:eastAsia="zh-CN"/>
        </w:rPr>
        <w:t>运维项目经理</w:t>
      </w:r>
      <w:r>
        <w:t>填写故障原因信息并发起送修申请，经</w:t>
      </w:r>
      <w:r>
        <w:rPr>
          <w:rFonts w:hint="eastAsia"/>
          <w:lang w:val="en-US" w:eastAsia="zh-CN"/>
        </w:rPr>
        <w:t>平台运维组经理</w:t>
      </w:r>
      <w:r>
        <w:t>审核通过后，维护人员按要求填写送修单，同时将送修单及坏件发送到</w:t>
      </w:r>
      <w:r>
        <w:rPr>
          <w:rFonts w:hint="eastAsia"/>
          <w:lang w:eastAsia="zh-CN"/>
        </w:rPr>
        <w:t>平台运维组</w:t>
      </w:r>
      <w:r>
        <w:t>。由客户服务统一将坏件寄回厂家维修，对于部分情况特殊且难于集中统一送修的坏件，可由</w:t>
      </w:r>
      <w:r>
        <w:rPr>
          <w:rFonts w:hint="eastAsia"/>
          <w:lang w:val="en-US" w:eastAsia="zh-CN"/>
        </w:rPr>
        <w:t>现场</w:t>
      </w:r>
      <w:r>
        <w:t>直接送厂维修同时报</w:t>
      </w:r>
      <w:r>
        <w:rPr>
          <w:rFonts w:hint="eastAsia"/>
          <w:lang w:eastAsia="zh-CN"/>
        </w:rPr>
        <w:t>平台运维组</w:t>
      </w:r>
      <w:r>
        <w:t>进行维修备案。</w:t>
      </w:r>
    </w:p>
    <w:p w14:paraId="2DA05BCE">
      <w:pPr>
        <w:pStyle w:val="31"/>
        <w:bidi w:val="0"/>
      </w:pPr>
      <w:r>
        <w:t>坏件修复后，返回到</w:t>
      </w:r>
      <w:r>
        <w:rPr>
          <w:rFonts w:hint="eastAsia"/>
          <w:lang w:eastAsia="zh-CN"/>
        </w:rPr>
        <w:t>平台运维组</w:t>
      </w:r>
      <w:r>
        <w:t>，</w:t>
      </w:r>
      <w:r>
        <w:rPr>
          <w:rFonts w:hint="eastAsia"/>
          <w:lang w:eastAsia="zh-CN"/>
        </w:rPr>
        <w:t>平台运维组</w:t>
      </w:r>
      <w:r>
        <w:t>根据送修单将好件返回到送修方，送修方在收到备件后进行核对和确认。</w:t>
      </w:r>
    </w:p>
    <w:p w14:paraId="0051180D">
      <w:pPr>
        <w:pStyle w:val="31"/>
        <w:bidi w:val="0"/>
      </w:pPr>
      <w:r>
        <w:t>原则上送修过程中发生的物流配送由备件实物所在的发出方的相关部门负责。</w:t>
      </w:r>
    </w:p>
    <w:p w14:paraId="5C1D293E">
      <w:pPr>
        <w:pStyle w:val="32"/>
        <w:bidi w:val="0"/>
      </w:pPr>
      <w:bookmarkStart w:id="18" w:name="_Toc27416"/>
      <w:bookmarkStart w:id="19" w:name="_Toc16692"/>
      <w:r>
        <w:t>报废管理</w:t>
      </w:r>
      <w:bookmarkEnd w:id="18"/>
      <w:bookmarkEnd w:id="19"/>
    </w:p>
    <w:p w14:paraId="199B9BCE">
      <w:pPr>
        <w:pStyle w:val="31"/>
        <w:bidi w:val="0"/>
      </w:pPr>
      <w:r>
        <w:t>当某备件无法修复或不具有使用价值时，要及时进行报废处理。备件报废原则上由备件所属的</w:t>
      </w:r>
      <w:r>
        <w:rPr>
          <w:rFonts w:hint="eastAsia"/>
          <w:lang w:val="en-US" w:eastAsia="zh-CN"/>
        </w:rPr>
        <w:t>运维项目经理</w:t>
      </w:r>
      <w:r>
        <w:t>发起报废申请，提交</w:t>
      </w:r>
      <w:r>
        <w:rPr>
          <w:rFonts w:hint="eastAsia"/>
          <w:lang w:eastAsia="zh-CN"/>
        </w:rPr>
        <w:t>平台运维组</w:t>
      </w:r>
      <w:r>
        <w:t>审批确认。审批通过后由</w:t>
      </w:r>
      <w:r>
        <w:rPr>
          <w:rFonts w:hint="eastAsia"/>
          <w:lang w:eastAsia="zh-CN"/>
        </w:rPr>
        <w:t>备件库管理专员</w:t>
      </w:r>
      <w:r>
        <w:t>将废件转入报废库。</w:t>
      </w:r>
    </w:p>
    <w:p w14:paraId="09DC4F8E">
      <w:pPr>
        <w:pStyle w:val="31"/>
        <w:bidi w:val="0"/>
        <w:rPr>
          <w:rFonts w:hint="default"/>
          <w:lang w:val="en-US" w:eastAsia="zh-CN"/>
        </w:rPr>
      </w:pPr>
      <w:r>
        <w:t>需报废备品备件如属固定资产的，由于涉及资产的变动，备件管理点应按照固定资产报废流程对备件进行报废处理。</w:t>
      </w:r>
    </w:p>
    <w:p w14:paraId="1194F153">
      <w:pPr>
        <w:pStyle w:val="32"/>
        <w:bidi w:val="0"/>
        <w:rPr>
          <w:rFonts w:hint="default"/>
          <w:lang w:val="en-US" w:eastAsia="zh-CN"/>
        </w:rPr>
      </w:pPr>
      <w:bookmarkStart w:id="20" w:name="_Toc667"/>
      <w:r>
        <w:rPr>
          <w:rFonts w:hint="eastAsia"/>
          <w:lang w:val="en-US" w:eastAsia="zh-CN"/>
        </w:rPr>
        <w:t>备件库考核指标</w:t>
      </w:r>
      <w:bookmarkEnd w:id="20"/>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4"/>
        <w:gridCol w:w="3108"/>
        <w:gridCol w:w="1186"/>
        <w:gridCol w:w="1091"/>
      </w:tblGrid>
      <w:tr w14:paraId="00A04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4" w:type="dxa"/>
          </w:tcPr>
          <w:p w14:paraId="677410FC">
            <w:pPr>
              <w:widowControl w:val="0"/>
              <w:jc w:val="center"/>
              <w:rPr>
                <w:rFonts w:hint="default"/>
                <w:b/>
                <w:bCs/>
                <w:lang w:val="en-US" w:eastAsia="zh-CN"/>
              </w:rPr>
            </w:pPr>
            <w:r>
              <w:rPr>
                <w:rFonts w:hint="eastAsia"/>
                <w:b/>
                <w:bCs/>
                <w:lang w:val="en-US" w:eastAsia="zh-CN"/>
              </w:rPr>
              <w:t>指标度量项</w:t>
            </w:r>
          </w:p>
        </w:tc>
        <w:tc>
          <w:tcPr>
            <w:tcW w:w="3108" w:type="dxa"/>
          </w:tcPr>
          <w:p w14:paraId="770EEAFC">
            <w:pPr>
              <w:widowControl w:val="0"/>
              <w:jc w:val="center"/>
              <w:rPr>
                <w:rFonts w:hint="eastAsia"/>
                <w:b/>
                <w:bCs/>
                <w:lang w:val="en-US" w:eastAsia="zh-CN"/>
              </w:rPr>
            </w:pPr>
            <w:r>
              <w:rPr>
                <w:rFonts w:hint="eastAsia"/>
                <w:b/>
                <w:bCs/>
                <w:lang w:val="en-US" w:eastAsia="zh-CN"/>
              </w:rPr>
              <w:t>计算公式</w:t>
            </w:r>
          </w:p>
        </w:tc>
        <w:tc>
          <w:tcPr>
            <w:tcW w:w="1186" w:type="dxa"/>
          </w:tcPr>
          <w:p w14:paraId="7D8C193D">
            <w:pPr>
              <w:widowControl w:val="0"/>
              <w:jc w:val="center"/>
              <w:rPr>
                <w:rFonts w:hint="default"/>
                <w:b/>
                <w:bCs/>
                <w:lang w:val="en-US" w:eastAsia="zh-CN"/>
              </w:rPr>
            </w:pPr>
            <w:r>
              <w:rPr>
                <w:rFonts w:hint="eastAsia"/>
                <w:b/>
                <w:bCs/>
                <w:lang w:val="en-US" w:eastAsia="zh-CN"/>
              </w:rPr>
              <w:t>指标要求</w:t>
            </w:r>
          </w:p>
        </w:tc>
        <w:tc>
          <w:tcPr>
            <w:tcW w:w="1091" w:type="dxa"/>
          </w:tcPr>
          <w:p w14:paraId="6352E195">
            <w:pPr>
              <w:widowControl w:val="0"/>
              <w:jc w:val="center"/>
              <w:rPr>
                <w:rFonts w:hint="default"/>
                <w:b/>
                <w:bCs/>
                <w:lang w:val="en-US" w:eastAsia="zh-CN"/>
              </w:rPr>
            </w:pPr>
            <w:r>
              <w:rPr>
                <w:rFonts w:hint="eastAsia"/>
                <w:b/>
                <w:bCs/>
                <w:lang w:val="en-US" w:eastAsia="zh-CN"/>
              </w:rPr>
              <w:t>频次</w:t>
            </w:r>
          </w:p>
        </w:tc>
      </w:tr>
      <w:tr w14:paraId="653FC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4" w:type="dxa"/>
          </w:tcPr>
          <w:p w14:paraId="04F7D0BB">
            <w:pPr>
              <w:widowControl w:val="0"/>
              <w:jc w:val="center"/>
              <w:rPr>
                <w:rFonts w:hint="default"/>
                <w:lang w:val="en-US" w:eastAsia="zh-CN"/>
              </w:rPr>
            </w:pPr>
            <w:r>
              <w:rPr>
                <w:rFonts w:hint="eastAsia"/>
                <w:lang w:val="en-US" w:eastAsia="zh-CN"/>
              </w:rPr>
              <w:t>备件准确率</w:t>
            </w:r>
          </w:p>
        </w:tc>
        <w:tc>
          <w:tcPr>
            <w:tcW w:w="3108" w:type="dxa"/>
          </w:tcPr>
          <w:p w14:paraId="31D6EBE9">
            <w:pPr>
              <w:widowControl w:val="0"/>
              <w:jc w:val="center"/>
              <w:rPr>
                <w:rFonts w:hint="default" w:eastAsia="宋体"/>
                <w:lang w:val="en-US" w:eastAsia="zh-CN"/>
              </w:rPr>
            </w:pPr>
            <w:r>
              <w:rPr>
                <w:rFonts w:hint="eastAsia" w:eastAsia="宋体"/>
                <w:lang w:val="en-US" w:eastAsia="zh-CN"/>
              </w:rPr>
              <w:t>准确备件数/备件总数*100%</w:t>
            </w:r>
          </w:p>
        </w:tc>
        <w:tc>
          <w:tcPr>
            <w:tcW w:w="1186" w:type="dxa"/>
          </w:tcPr>
          <w:p w14:paraId="1A3895A3">
            <w:pPr>
              <w:widowControl w:val="0"/>
              <w:jc w:val="center"/>
            </w:pPr>
            <w:r>
              <w:rPr>
                <w:rFonts w:hint="eastAsia" w:eastAsia="宋体"/>
                <w:lang w:val="en-US" w:eastAsia="zh-CN"/>
              </w:rPr>
              <w:t>95</w:t>
            </w:r>
            <w:r>
              <w:t>%</w:t>
            </w:r>
          </w:p>
        </w:tc>
        <w:tc>
          <w:tcPr>
            <w:tcW w:w="1091" w:type="dxa"/>
          </w:tcPr>
          <w:p w14:paraId="35E58F8B">
            <w:pPr>
              <w:widowControl w:val="0"/>
              <w:jc w:val="center"/>
              <w:rPr>
                <w:rFonts w:hint="eastAsia" w:eastAsia="宋体"/>
                <w:lang w:val="en-US" w:eastAsia="zh-CN"/>
              </w:rPr>
            </w:pPr>
            <w:r>
              <w:rPr>
                <w:rFonts w:hint="eastAsia" w:eastAsia="宋体"/>
                <w:lang w:val="en-US" w:eastAsia="zh-CN"/>
              </w:rPr>
              <w:t>季度</w:t>
            </w:r>
          </w:p>
        </w:tc>
      </w:tr>
    </w:tbl>
    <w:p w14:paraId="783FBB55">
      <w:pPr>
        <w:pStyle w:val="30"/>
        <w:bidi w:val="0"/>
        <w:rPr>
          <w:rStyle w:val="40"/>
          <w:rFonts w:hint="default" w:eastAsia="宋体"/>
          <w:lang w:val="en-US" w:eastAsia="zh-CN"/>
        </w:rPr>
      </w:pPr>
      <w:bookmarkStart w:id="21" w:name="bookmark3"/>
      <w:bookmarkEnd w:id="21"/>
      <w:bookmarkStart w:id="22" w:name="_Toc10594"/>
      <w:bookmarkStart w:id="23" w:name="_Toc17424"/>
      <w:r>
        <w:rPr>
          <w:rStyle w:val="40"/>
          <w:rFonts w:hint="eastAsia" w:eastAsia="宋体"/>
          <w:lang w:val="en-US" w:eastAsia="zh-CN"/>
        </w:rPr>
        <w:t>附则</w:t>
      </w:r>
      <w:bookmarkEnd w:id="22"/>
      <w:bookmarkEnd w:id="23"/>
    </w:p>
    <w:p w14:paraId="182B5417">
      <w:pPr>
        <w:keepNext w:val="0"/>
        <w:keepLines w:val="0"/>
        <w:pageBreakBefore w:val="0"/>
        <w:widowControl/>
        <w:numPr>
          <w:ilvl w:val="0"/>
          <w:numId w:val="8"/>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本制度最终解释权和修订权归</w:t>
      </w:r>
      <w:r>
        <w:rPr>
          <w:rFonts w:hint="eastAsia" w:ascii="宋体" w:hAnsi="宋体" w:eastAsia="宋体" w:cs="宋体"/>
          <w:spacing w:val="-1"/>
          <w:sz w:val="24"/>
          <w:szCs w:val="24"/>
          <w:lang w:val="en-US" w:eastAsia="zh-CN"/>
        </w:rPr>
        <w:t>平台运维组</w:t>
      </w:r>
      <w:r>
        <w:rPr>
          <w:rFonts w:ascii="宋体" w:hAnsi="宋体" w:eastAsia="宋体" w:cs="宋体"/>
          <w:spacing w:val="-1"/>
          <w:sz w:val="24"/>
          <w:szCs w:val="24"/>
        </w:rPr>
        <w:t>。</w:t>
      </w:r>
    </w:p>
    <w:p w14:paraId="372B67CF">
      <w:pPr>
        <w:keepNext w:val="0"/>
        <w:keepLines w:val="0"/>
        <w:pageBreakBefore w:val="0"/>
        <w:widowControl/>
        <w:numPr>
          <w:ilvl w:val="0"/>
          <w:numId w:val="8"/>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default"/>
          <w:lang w:val="en-US" w:eastAsia="zh-CN"/>
        </w:rPr>
      </w:pPr>
      <w:r>
        <w:rPr>
          <w:rFonts w:ascii="宋体" w:hAnsi="宋体" w:eastAsia="宋体" w:cs="宋体"/>
          <w:spacing w:val="-2"/>
          <w:sz w:val="24"/>
          <w:szCs w:val="24"/>
        </w:rPr>
        <w:t>本制度自颁布之日起施行。</w:t>
      </w:r>
    </w:p>
    <w:p w14:paraId="12FA7403">
      <w:pPr>
        <w:pStyle w:val="30"/>
        <w:bidi w:val="0"/>
        <w:rPr>
          <w:rFonts w:hint="default"/>
          <w:lang w:val="en-US" w:eastAsia="zh-CN"/>
        </w:rPr>
      </w:pPr>
      <w:bookmarkStart w:id="24" w:name="bookmark14"/>
      <w:bookmarkEnd w:id="24"/>
      <w:bookmarkStart w:id="25" w:name="_Toc8203"/>
      <w:r>
        <w:rPr>
          <w:rFonts w:hint="eastAsia"/>
          <w:lang w:val="en-US" w:eastAsia="zh-CN"/>
        </w:rPr>
        <w:t>附件</w:t>
      </w:r>
      <w:bookmarkEnd w:id="25"/>
    </w:p>
    <w:p w14:paraId="0937D3B5">
      <w:pPr>
        <w:pStyle w:val="31"/>
        <w:rPr>
          <w:rFonts w:hint="default"/>
          <w:lang w:val="en-US" w:eastAsia="zh-CN"/>
        </w:rPr>
      </w:pPr>
      <w:r>
        <w:rPr>
          <w:rFonts w:hint="eastAsia"/>
          <w:lang w:val="en-US" w:eastAsia="zh-CN"/>
        </w:rPr>
        <w:t>无</w:t>
      </w:r>
    </w:p>
    <w:p w14:paraId="2794E1B1">
      <w:pPr>
        <w:pStyle w:val="30"/>
        <w:bidi w:val="0"/>
        <w:rPr>
          <w:rFonts w:hint="eastAsia"/>
          <w:lang w:val="en-US" w:eastAsia="zh-CN"/>
        </w:rPr>
      </w:pPr>
      <w:bookmarkStart w:id="26" w:name="_Toc8769"/>
      <w:r>
        <w:rPr>
          <w:rFonts w:hint="eastAsia"/>
          <w:lang w:val="en-US" w:eastAsia="zh-CN"/>
        </w:rPr>
        <w:t>记录</w:t>
      </w:r>
      <w:bookmarkEnd w:id="26"/>
    </w:p>
    <w:p w14:paraId="52711DD8">
      <w:pPr>
        <w:pStyle w:val="31"/>
        <w:numPr>
          <w:ilvl w:val="0"/>
          <w:numId w:val="0"/>
        </w:numPr>
        <w:bidi w:val="0"/>
        <w:ind w:left="420" w:leftChars="200"/>
      </w:pPr>
      <w:r>
        <w:t>《备品备件存量清单》</w:t>
      </w:r>
    </w:p>
    <w:p w14:paraId="56A7D07D">
      <w:pPr>
        <w:pStyle w:val="31"/>
        <w:numPr>
          <w:ilvl w:val="0"/>
          <w:numId w:val="0"/>
        </w:numPr>
        <w:bidi w:val="0"/>
        <w:ind w:left="420" w:leftChars="200"/>
      </w:pPr>
      <w:r>
        <w:t>《备品备件领用登记表》</w:t>
      </w:r>
    </w:p>
    <w:p w14:paraId="726B6BFA">
      <w:pPr>
        <w:pStyle w:val="31"/>
        <w:numPr>
          <w:ilvl w:val="0"/>
          <w:numId w:val="0"/>
        </w:numPr>
        <w:bidi w:val="0"/>
        <w:ind w:left="420" w:leftChars="200"/>
      </w:pPr>
      <w:r>
        <w:t>《备品备件出入库表单》</w:t>
      </w:r>
    </w:p>
    <w:p w14:paraId="34B5E3F4">
      <w:pPr>
        <w:pStyle w:val="31"/>
        <w:numPr>
          <w:ilvl w:val="0"/>
          <w:numId w:val="0"/>
        </w:numPr>
        <w:bidi w:val="0"/>
        <w:ind w:left="420" w:leftChars="200"/>
        <w:rPr>
          <w:rFonts w:hint="eastAsia"/>
          <w:lang w:val="en-US" w:eastAsia="zh-CN"/>
        </w:rPr>
      </w:pPr>
      <w:r>
        <w:t>《备品备件报废审批表单》</w:t>
      </w:r>
    </w:p>
    <w:sectPr>
      <w:headerReference r:id="rId5" w:type="default"/>
      <w:footerReference r:id="rId6"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A7573D">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737CBD">
    <w:pPr>
      <w:pStyle w:val="15"/>
      <w:pBdr>
        <w:bottom w:val="single" w:color="auto" w:sz="4" w:space="1"/>
      </w:pBdr>
      <w:jc w:val="right"/>
      <w:rPr>
        <w:rFonts w:hint="eastAsia" w:eastAsiaTheme="minorEastAsia"/>
        <w:lang w:eastAsia="zh-CN"/>
      </w:rPr>
    </w:pPr>
    <w:r>
      <w:rPr>
        <w:rFonts w:hint="eastAsia" w:eastAsiaTheme="minorEastAsia"/>
        <w:lang w:eastAsia="zh-CN"/>
      </w:rPr>
      <w:t>青岛瑞源工程集团有限公司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7A8FEC"/>
    <w:multiLevelType w:val="singleLevel"/>
    <w:tmpl w:val="8A7A8FEC"/>
    <w:lvl w:ilvl="0" w:tentative="0">
      <w:start w:val="1"/>
      <w:numFmt w:val="decimal"/>
      <w:lvlText w:val="%1."/>
      <w:lvlJc w:val="left"/>
      <w:pPr>
        <w:ind w:left="425" w:hanging="425"/>
      </w:pPr>
      <w:rPr>
        <w:rFonts w:hint="default"/>
      </w:rPr>
    </w:lvl>
  </w:abstractNum>
  <w:abstractNum w:abstractNumId="1">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2">
    <w:nsid w:val="BF8E40D0"/>
    <w:multiLevelType w:val="singleLevel"/>
    <w:tmpl w:val="BF8E40D0"/>
    <w:lvl w:ilvl="0" w:tentative="0">
      <w:start w:val="1"/>
      <w:numFmt w:val="decimal"/>
      <w:lvlText w:val="%1."/>
      <w:lvlJc w:val="left"/>
      <w:pPr>
        <w:ind w:left="425" w:hanging="425"/>
      </w:pPr>
      <w:rPr>
        <w:rFonts w:hint="default"/>
      </w:rPr>
    </w:lvl>
  </w:abstractNum>
  <w:abstractNum w:abstractNumId="3">
    <w:nsid w:val="D402589A"/>
    <w:multiLevelType w:val="singleLevel"/>
    <w:tmpl w:val="D402589A"/>
    <w:lvl w:ilvl="0" w:tentative="0">
      <w:start w:val="1"/>
      <w:numFmt w:val="decimal"/>
      <w:lvlText w:val="%1."/>
      <w:lvlJc w:val="left"/>
      <w:pPr>
        <w:ind w:left="425" w:hanging="425"/>
      </w:pPr>
      <w:rPr>
        <w:rFonts w:hint="default"/>
      </w:rPr>
    </w:lvl>
  </w:abstractNum>
  <w:abstractNum w:abstractNumId="4">
    <w:nsid w:val="D8796A4C"/>
    <w:multiLevelType w:val="singleLevel"/>
    <w:tmpl w:val="D8796A4C"/>
    <w:lvl w:ilvl="0" w:tentative="0">
      <w:start w:val="1"/>
      <w:numFmt w:val="decimal"/>
      <w:lvlText w:val="%1."/>
      <w:lvlJc w:val="left"/>
      <w:pPr>
        <w:ind w:left="425" w:hanging="425"/>
      </w:pPr>
      <w:rPr>
        <w:rFonts w:hint="default"/>
      </w:rPr>
    </w:lvl>
  </w:abstractNum>
  <w:abstractNum w:abstractNumId="5">
    <w:nsid w:val="E42E484D"/>
    <w:multiLevelType w:val="singleLevel"/>
    <w:tmpl w:val="E42E484D"/>
    <w:lvl w:ilvl="0" w:tentative="0">
      <w:start w:val="1"/>
      <w:numFmt w:val="decimal"/>
      <w:lvlText w:val="%1."/>
      <w:lvlJc w:val="left"/>
      <w:pPr>
        <w:ind w:left="425" w:hanging="425"/>
      </w:pPr>
      <w:rPr>
        <w:rFonts w:hint="default"/>
      </w:rPr>
    </w:lvl>
  </w:abstractNum>
  <w:abstractNum w:abstractNumId="6">
    <w:nsid w:val="F9539CF3"/>
    <w:multiLevelType w:val="singleLevel"/>
    <w:tmpl w:val="F9539CF3"/>
    <w:lvl w:ilvl="0" w:tentative="0">
      <w:start w:val="1"/>
      <w:numFmt w:val="decimal"/>
      <w:lvlText w:val="%1."/>
      <w:lvlJc w:val="left"/>
      <w:pPr>
        <w:ind w:left="425" w:hanging="425"/>
      </w:pPr>
      <w:rPr>
        <w:rFonts w:hint="default"/>
      </w:rPr>
    </w:lvl>
  </w:abstractNum>
  <w:abstractNum w:abstractNumId="7">
    <w:nsid w:val="5576B920"/>
    <w:multiLevelType w:val="singleLevel"/>
    <w:tmpl w:val="5576B920"/>
    <w:lvl w:ilvl="0" w:tentative="0">
      <w:start w:val="1"/>
      <w:numFmt w:val="decimal"/>
      <w:lvlText w:val="%1."/>
      <w:lvlJc w:val="left"/>
      <w:pPr>
        <w:ind w:left="425" w:hanging="425"/>
      </w:pPr>
      <w:rPr>
        <w:rFonts w:hint="default"/>
      </w:rPr>
    </w:lvl>
  </w:abstractNum>
  <w:num w:numId="1">
    <w:abstractNumId w:val="1"/>
  </w:num>
  <w:num w:numId="2">
    <w:abstractNumId w:val="2"/>
  </w:num>
  <w:num w:numId="3">
    <w:abstractNumId w:val="0"/>
  </w:num>
  <w:num w:numId="4">
    <w:abstractNumId w:val="7"/>
  </w:num>
  <w:num w:numId="5">
    <w:abstractNumId w:val="3"/>
  </w:num>
  <w:num w:numId="6">
    <w:abstractNumId w:val="4"/>
  </w:num>
  <w:num w:numId="7">
    <w:abstractNumId w:val="5"/>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402B012E"/>
    <w:rsid w:val="5B7753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3">
    <w:name w:val="Default Paragraph Font"/>
    <w:semiHidden/>
    <w:qFormat/>
    <w:uiPriority w:val="0"/>
  </w:style>
  <w:style w:type="table" w:default="1" w:styleId="21">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footnote text"/>
    <w:basedOn w:val="1"/>
    <w:qFormat/>
    <w:uiPriority w:val="0"/>
    <w:pPr>
      <w:snapToGrid w:val="0"/>
      <w:jc w:val="left"/>
    </w:pPr>
    <w:rPr>
      <w:sz w:val="18"/>
    </w:rPr>
  </w:style>
  <w:style w:type="paragraph" w:styleId="18">
    <w:name w:val="toc 2"/>
    <w:basedOn w:val="1"/>
    <w:next w:val="1"/>
    <w:qFormat/>
    <w:uiPriority w:val="0"/>
    <w:pPr>
      <w:ind w:left="420" w:leftChars="200"/>
    </w:pPr>
  </w:style>
  <w:style w:type="paragraph" w:styleId="19">
    <w:name w:val="Normal (Web)"/>
    <w:basedOn w:val="1"/>
    <w:qFormat/>
    <w:uiPriority w:val="0"/>
    <w:rPr>
      <w:sz w:val="24"/>
    </w:rPr>
  </w:style>
  <w:style w:type="paragraph" w:styleId="20">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2">
    <w:name w:val="Table Grid"/>
    <w:basedOn w:val="2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basedOn w:val="23"/>
    <w:qFormat/>
    <w:uiPriority w:val="0"/>
    <w:rPr>
      <w:b/>
    </w:rPr>
  </w:style>
  <w:style w:type="character" w:styleId="25">
    <w:name w:val="footnote reference"/>
    <w:basedOn w:val="23"/>
    <w:qFormat/>
    <w:uiPriority w:val="0"/>
    <w:rPr>
      <w:vertAlign w:val="superscript"/>
    </w:rPr>
  </w:style>
  <w:style w:type="paragraph" w:customStyle="1" w:styleId="26">
    <w:name w:val="柴_公司名"/>
    <w:basedOn w:val="20"/>
    <w:qFormat/>
    <w:uiPriority w:val="0"/>
    <w:pPr>
      <w:spacing w:after="600" w:afterLines="600"/>
    </w:pPr>
    <w:rPr>
      <w:rFonts w:hint="eastAsia" w:ascii="宋体" w:hAnsi="宋体" w:eastAsia="宋体" w:cs="宋体"/>
      <w:bCs/>
      <w:spacing w:val="-6"/>
      <w:sz w:val="52"/>
      <w:szCs w:val="52"/>
    </w:rPr>
  </w:style>
  <w:style w:type="paragraph" w:customStyle="1" w:styleId="27">
    <w:name w:val="柴_文档名"/>
    <w:basedOn w:val="20"/>
    <w:qFormat/>
    <w:uiPriority w:val="0"/>
    <w:pPr>
      <w:spacing w:after="900" w:afterLines="900"/>
    </w:pPr>
    <w:rPr>
      <w:rFonts w:ascii="黑体" w:hAnsi="黑体" w:eastAsia="黑体" w:cs="黑体"/>
      <w:bCs/>
      <w:spacing w:val="-7"/>
      <w:sz w:val="52"/>
      <w:szCs w:val="52"/>
    </w:rPr>
  </w:style>
  <w:style w:type="table" w:customStyle="1" w:styleId="28">
    <w:name w:val="Table Normal_0"/>
    <w:semiHidden/>
    <w:unhideWhenUsed/>
    <w:qFormat/>
    <w:uiPriority w:val="0"/>
    <w:tblPr>
      <w:tblCellMar>
        <w:top w:w="0" w:type="dxa"/>
        <w:left w:w="0" w:type="dxa"/>
        <w:bottom w:w="0" w:type="dxa"/>
        <w:right w:w="0" w:type="dxa"/>
      </w:tblCellMar>
    </w:tblPr>
  </w:style>
  <w:style w:type="paragraph" w:customStyle="1" w:styleId="29">
    <w:name w:val="Table Text"/>
    <w:basedOn w:val="1"/>
    <w:semiHidden/>
    <w:qFormat/>
    <w:uiPriority w:val="0"/>
    <w:rPr>
      <w:rFonts w:ascii="宋体" w:hAnsi="宋体" w:eastAsia="宋体" w:cs="宋体"/>
      <w:sz w:val="21"/>
      <w:szCs w:val="21"/>
      <w:lang w:val="en-US" w:eastAsia="en-US" w:bidi="ar-SA"/>
    </w:rPr>
  </w:style>
  <w:style w:type="paragraph" w:customStyle="1" w:styleId="30">
    <w:name w:val="柴_标题1"/>
    <w:basedOn w:val="2"/>
    <w:next w:val="31"/>
    <w:link w:val="40"/>
    <w:qFormat/>
    <w:uiPriority w:val="0"/>
    <w:pPr>
      <w:spacing w:before="100" w:after="90" w:line="360" w:lineRule="auto"/>
    </w:pPr>
    <w:rPr>
      <w:rFonts w:ascii="Arial" w:hAnsi="Arial" w:eastAsia="宋体"/>
      <w:sz w:val="32"/>
    </w:rPr>
  </w:style>
  <w:style w:type="paragraph" w:customStyle="1" w:styleId="31">
    <w:name w:val="柴_正文"/>
    <w:basedOn w:val="12"/>
    <w:link w:val="44"/>
    <w:qFormat/>
    <w:uiPriority w:val="0"/>
    <w:pPr>
      <w:spacing w:line="360" w:lineRule="auto"/>
      <w:ind w:firstLine="470" w:firstLineChars="200"/>
    </w:pPr>
    <w:rPr>
      <w:rFonts w:ascii="Arial" w:hAnsi="Arial" w:eastAsia="宋体"/>
      <w:sz w:val="24"/>
      <w:lang w:eastAsia="zh-CN"/>
    </w:rPr>
  </w:style>
  <w:style w:type="paragraph" w:customStyle="1" w:styleId="32">
    <w:name w:val="柴_标题2"/>
    <w:basedOn w:val="3"/>
    <w:next w:val="31"/>
    <w:qFormat/>
    <w:uiPriority w:val="0"/>
    <w:pPr>
      <w:spacing w:line="360" w:lineRule="auto"/>
    </w:pPr>
    <w:rPr>
      <w:rFonts w:ascii="Arial" w:hAnsi="Arial" w:eastAsia="宋体"/>
      <w:sz w:val="28"/>
    </w:rPr>
  </w:style>
  <w:style w:type="paragraph" w:customStyle="1" w:styleId="33">
    <w:name w:val="柴_标题3"/>
    <w:basedOn w:val="4"/>
    <w:next w:val="31"/>
    <w:qFormat/>
    <w:uiPriority w:val="0"/>
    <w:pPr>
      <w:spacing w:line="360" w:lineRule="auto"/>
      <w:ind w:left="0" w:firstLine="472" w:firstLineChars="200"/>
    </w:pPr>
    <w:rPr>
      <w:rFonts w:ascii="宋体" w:hAnsi="宋体" w:eastAsia="宋体" w:cs="宋体"/>
      <w:spacing w:val="-2"/>
      <w:sz w:val="24"/>
      <w:szCs w:val="24"/>
    </w:rPr>
  </w:style>
  <w:style w:type="paragraph" w:customStyle="1" w:styleId="34">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5">
    <w:name w:val="WPSOffice手动目录 1"/>
    <w:qFormat/>
    <w:uiPriority w:val="0"/>
    <w:pPr>
      <w:ind w:leftChars="0"/>
    </w:pPr>
    <w:rPr>
      <w:rFonts w:ascii="Times New Roman" w:hAnsi="Times New Roman" w:eastAsia="宋体" w:cs="Times New Roman"/>
      <w:sz w:val="20"/>
      <w:szCs w:val="20"/>
    </w:rPr>
  </w:style>
  <w:style w:type="paragraph" w:customStyle="1" w:styleId="36">
    <w:name w:val="WPSOffice手动目录 2"/>
    <w:qFormat/>
    <w:uiPriority w:val="0"/>
    <w:pPr>
      <w:ind w:leftChars="200"/>
    </w:pPr>
    <w:rPr>
      <w:rFonts w:ascii="Times New Roman" w:hAnsi="Times New Roman" w:eastAsia="宋体" w:cs="Times New Roman"/>
      <w:sz w:val="20"/>
      <w:szCs w:val="20"/>
    </w:rPr>
  </w:style>
  <w:style w:type="paragraph" w:customStyle="1" w:styleId="37">
    <w:name w:val="WPSOffice手动目录 3"/>
    <w:qFormat/>
    <w:uiPriority w:val="0"/>
    <w:pPr>
      <w:ind w:leftChars="400"/>
    </w:pPr>
    <w:rPr>
      <w:rFonts w:ascii="Times New Roman" w:hAnsi="Times New Roman" w:eastAsia="宋体" w:cs="Times New Roman"/>
      <w:sz w:val="20"/>
      <w:szCs w:val="20"/>
    </w:rPr>
  </w:style>
  <w:style w:type="paragraph" w:customStyle="1" w:styleId="38">
    <w:name w:val="Compact"/>
    <w:basedOn w:val="12"/>
    <w:qFormat/>
    <w:uiPriority w:val="0"/>
    <w:pPr>
      <w:spacing w:before="36" w:after="36"/>
    </w:pPr>
  </w:style>
  <w:style w:type="table" w:customStyle="1" w:styleId="39">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40">
    <w:name w:val="柴_标题1 Char"/>
    <w:link w:val="30"/>
    <w:qFormat/>
    <w:uiPriority w:val="0"/>
    <w:rPr>
      <w:rFonts w:ascii="Arial" w:hAnsi="Arial" w:eastAsia="宋体"/>
      <w:sz w:val="32"/>
    </w:rPr>
  </w:style>
  <w:style w:type="table" w:customStyle="1" w:styleId="41">
    <w:name w:val="Table Normal"/>
    <w:semiHidden/>
    <w:unhideWhenUsed/>
    <w:qFormat/>
    <w:uiPriority w:val="0"/>
    <w:tblPr>
      <w:tblCellMar>
        <w:top w:w="0" w:type="dxa"/>
        <w:left w:w="0" w:type="dxa"/>
        <w:bottom w:w="0" w:type="dxa"/>
        <w:right w:w="0" w:type="dxa"/>
      </w:tblCellMar>
    </w:tblPr>
  </w:style>
  <w:style w:type="paragraph" w:customStyle="1" w:styleId="42">
    <w:name w:val="柴_正文_无缩进"/>
    <w:basedOn w:val="1"/>
    <w:qFormat/>
    <w:uiPriority w:val="0"/>
    <w:pPr>
      <w:ind w:firstLine="0" w:firstLineChars="0"/>
    </w:pPr>
    <w:rPr>
      <w:rFonts w:ascii="Arial" w:hAnsi="Arial"/>
      <w:sz w:val="24"/>
      <w:lang w:eastAsia="zh-CN"/>
    </w:rPr>
  </w:style>
  <w:style w:type="paragraph" w:customStyle="1" w:styleId="43">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4">
    <w:name w:val="柴_正文 Char"/>
    <w:link w:val="31"/>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2763</Words>
  <Characters>2862</Characters>
  <Lines>0</Lines>
  <Paragraphs>0</Paragraphs>
  <TotalTime>3</TotalTime>
  <ScaleCrop>false</ScaleCrop>
  <LinksUpToDate>false</LinksUpToDate>
  <CharactersWithSpaces>2936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2025-12-27T10:58:03Z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