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2CC98">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-01</w:t>
      </w:r>
    </w:p>
    <w:p w14:paraId="77C3069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13C4E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5252"/>
      <w:r>
        <w:rPr>
          <w:rFonts w:hint="eastAsia"/>
          <w:lang w:val="en-US" w:eastAsia="zh-CN"/>
        </w:rPr>
        <w:t>青岛瑞源工程集团有限公司</w:t>
      </w:r>
      <w:bookmarkEnd w:id="0"/>
    </w:p>
    <w:p w14:paraId="0B67E186">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黑体"/>
          <w:sz w:val="44"/>
          <w:szCs w:val="44"/>
          <w:lang w:val="en-US" w:eastAsia="zh-CN"/>
        </w:rPr>
      </w:pPr>
      <w:bookmarkStart w:id="1" w:name="_Toc29628"/>
      <w:r>
        <w:rPr>
          <w:rFonts w:hint="eastAsia"/>
          <w:sz w:val="44"/>
          <w:szCs w:val="44"/>
          <w:lang w:val="en-US" w:eastAsia="zh-CN"/>
        </w:rPr>
        <w:t>烟台林海嵎峡田综合体智慧农业大数据平台建设项目数据清洗策略需求分析报告</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F8EE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4D29B57">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编制人:</w:t>
            </w:r>
            <w:r>
              <w:rPr>
                <w:rFonts w:hint="eastAsia" w:ascii="宋体" w:hAnsi="宋体" w:eastAsia="宋体" w:cs="宋体"/>
                <w:sz w:val="21"/>
                <w:szCs w:val="21"/>
                <w:u w:val="single"/>
                <w:lang w:val="en-US" w:eastAsia="zh-CN"/>
              </w:rPr>
              <w:t>张秀才</w:t>
            </w:r>
          </w:p>
        </w:tc>
        <w:tc>
          <w:tcPr>
            <w:tcW w:w="4261" w:type="dxa"/>
          </w:tcPr>
          <w:p w14:paraId="4DD0AF4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2025.01.10</w:t>
            </w:r>
          </w:p>
        </w:tc>
      </w:tr>
      <w:tr w14:paraId="53C5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3A4CA4BB">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审核人:</w:t>
            </w:r>
            <w:r>
              <w:rPr>
                <w:rFonts w:hint="eastAsia" w:ascii="宋体" w:hAnsi="宋体" w:eastAsia="宋体" w:cs="宋体"/>
                <w:sz w:val="21"/>
                <w:szCs w:val="21"/>
                <w:u w:val="single"/>
                <w:lang w:val="en-US" w:eastAsia="zh-CN"/>
              </w:rPr>
              <w:t>宋振</w:t>
            </w:r>
          </w:p>
        </w:tc>
        <w:tc>
          <w:tcPr>
            <w:tcW w:w="4261" w:type="dxa"/>
            <w:shd w:val="clear" w:color="auto" w:fill="auto"/>
          </w:tcPr>
          <w:p w14:paraId="02713C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宋体" w:hAnsi="宋体" w:eastAsia="宋体" w:cs="宋体"/>
                <w:snapToGrid w:val="0"/>
                <w:color w:val="000000"/>
                <w:kern w:val="0"/>
                <w:sz w:val="21"/>
                <w:szCs w:val="21"/>
                <w:vertAlign w:val="baseline"/>
                <w:lang w:val="en-US" w:eastAsia="zh-CN" w:bidi="ar-SA"/>
              </w:rPr>
            </w:pPr>
            <w:r>
              <w:rPr>
                <w:rFonts w:hint="eastAsia" w:ascii="宋体" w:hAnsi="宋体" w:eastAsia="宋体" w:cs="宋体"/>
                <w:sz w:val="21"/>
                <w:szCs w:val="21"/>
                <w:lang w:val="en-US" w:eastAsia="zh-CN"/>
              </w:rPr>
              <w:t>编制时间:</w:t>
            </w:r>
            <w:r>
              <w:rPr>
                <w:rFonts w:hint="default" w:ascii="Arial" w:hAnsi="Arial" w:eastAsia="宋体" w:cs="Arial"/>
                <w:sz w:val="21"/>
                <w:szCs w:val="21"/>
                <w:u w:val="single"/>
                <w:lang w:val="en-US" w:eastAsia="zh-CN"/>
              </w:rPr>
              <w:t>2025.01.10</w:t>
            </w:r>
          </w:p>
        </w:tc>
      </w:tr>
      <w:tr w14:paraId="216D9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7B69AE19">
            <w:pPr>
              <w:pStyle w:val="30"/>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批准人:</w:t>
            </w:r>
            <w:r>
              <w:rPr>
                <w:rFonts w:hint="eastAsia" w:ascii="宋体" w:hAnsi="宋体" w:eastAsia="宋体" w:cs="宋体"/>
                <w:sz w:val="21"/>
                <w:szCs w:val="21"/>
                <w:u w:val="single"/>
                <w:lang w:val="en-US" w:eastAsia="zh-CN"/>
              </w:rPr>
              <w:t>于瑞建</w:t>
            </w:r>
          </w:p>
        </w:tc>
        <w:tc>
          <w:tcPr>
            <w:tcW w:w="4261" w:type="dxa"/>
          </w:tcPr>
          <w:p w14:paraId="1A238B3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审批时间:</w:t>
            </w:r>
            <w:r>
              <w:rPr>
                <w:rFonts w:hint="default" w:ascii="Arial" w:hAnsi="Arial" w:eastAsia="宋体" w:cs="Arial"/>
                <w:sz w:val="21"/>
                <w:szCs w:val="21"/>
                <w:u w:val="single"/>
                <w:lang w:val="en-US" w:eastAsia="zh-CN"/>
              </w:rPr>
              <w:t>2025.01.10</w:t>
            </w:r>
          </w:p>
        </w:tc>
      </w:tr>
    </w:tbl>
    <w:p w14:paraId="47BC4BB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2A15E0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7BFF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vAlign w:val="top"/>
          </w:tcPr>
          <w:p w14:paraId="2A0AC3C9">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607" w:leftChars="0"/>
              <w:textAlignment w:val="baseline"/>
              <w:rPr>
                <w:rFonts w:hint="eastAsia" w:ascii="宋体" w:hAnsi="宋体" w:eastAsia="宋体" w:cs="宋体"/>
                <w:sz w:val="20"/>
                <w:szCs w:val="20"/>
              </w:rPr>
            </w:pPr>
            <w:r>
              <w:rPr>
                <w:rFonts w:ascii="宋体" w:hAnsi="宋体" w:eastAsia="宋体" w:cs="宋体"/>
                <w:spacing w:val="-14"/>
                <w:sz w:val="20"/>
                <w:szCs w:val="20"/>
              </w:rPr>
              <w:t>日期</w:t>
            </w:r>
          </w:p>
        </w:tc>
        <w:tc>
          <w:tcPr>
            <w:tcW w:w="919" w:type="dxa"/>
            <w:vAlign w:val="top"/>
          </w:tcPr>
          <w:p w14:paraId="4E5DFA3C">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253" w:leftChars="0"/>
              <w:textAlignment w:val="baseline"/>
              <w:rPr>
                <w:rFonts w:hint="eastAsia" w:ascii="宋体" w:hAnsi="宋体" w:eastAsia="宋体" w:cs="宋体"/>
                <w:sz w:val="20"/>
                <w:szCs w:val="20"/>
              </w:rPr>
            </w:pPr>
            <w:r>
              <w:rPr>
                <w:rFonts w:ascii="宋体" w:hAnsi="宋体" w:eastAsia="宋体" w:cs="宋体"/>
                <w:spacing w:val="4"/>
                <w:sz w:val="20"/>
                <w:szCs w:val="20"/>
              </w:rPr>
              <w:t>版本</w:t>
            </w:r>
          </w:p>
        </w:tc>
        <w:tc>
          <w:tcPr>
            <w:tcW w:w="2289" w:type="dxa"/>
            <w:vAlign w:val="top"/>
          </w:tcPr>
          <w:p w14:paraId="76862C2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730" w:leftChars="0"/>
              <w:textAlignment w:val="baseline"/>
              <w:rPr>
                <w:rFonts w:hint="eastAsia" w:ascii="宋体" w:hAnsi="宋体" w:eastAsia="宋体" w:cs="宋体"/>
                <w:sz w:val="20"/>
                <w:szCs w:val="20"/>
              </w:rPr>
            </w:pPr>
            <w:r>
              <w:rPr>
                <w:rFonts w:ascii="宋体" w:hAnsi="宋体" w:eastAsia="宋体" w:cs="宋体"/>
                <w:spacing w:val="7"/>
                <w:sz w:val="20"/>
                <w:szCs w:val="20"/>
              </w:rPr>
              <w:t>变更说明</w:t>
            </w:r>
          </w:p>
        </w:tc>
        <w:tc>
          <w:tcPr>
            <w:tcW w:w="1148" w:type="dxa"/>
            <w:vAlign w:val="top"/>
          </w:tcPr>
          <w:p w14:paraId="5E78B02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z w:val="20"/>
                <w:szCs w:val="20"/>
              </w:rPr>
            </w:pPr>
            <w:r>
              <w:rPr>
                <w:rFonts w:ascii="宋体" w:hAnsi="宋体" w:eastAsia="宋体" w:cs="宋体"/>
                <w:spacing w:val="6"/>
                <w:sz w:val="20"/>
                <w:szCs w:val="20"/>
              </w:rPr>
              <w:t>编写人</w:t>
            </w:r>
          </w:p>
        </w:tc>
        <w:tc>
          <w:tcPr>
            <w:tcW w:w="1150" w:type="dxa"/>
            <w:vAlign w:val="top"/>
          </w:tcPr>
          <w:p w14:paraId="60417F7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310" w:leftChars="0"/>
              <w:textAlignment w:val="baseline"/>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vAlign w:val="top"/>
          </w:tcPr>
          <w:p w14:paraId="01FFF2FD">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311" w:leftChars="0"/>
              <w:textAlignment w:val="baseline"/>
              <w:rPr>
                <w:rFonts w:hint="eastAsia" w:ascii="宋体" w:hAnsi="宋体" w:eastAsia="宋体" w:cs="宋体"/>
                <w:sz w:val="20"/>
                <w:szCs w:val="20"/>
              </w:rPr>
            </w:pPr>
            <w:r>
              <w:rPr>
                <w:rFonts w:ascii="宋体" w:hAnsi="宋体" w:eastAsia="宋体" w:cs="宋体"/>
                <w:spacing w:val="7"/>
                <w:sz w:val="20"/>
                <w:szCs w:val="20"/>
              </w:rPr>
              <w:t>批准人</w:t>
            </w:r>
          </w:p>
        </w:tc>
      </w:tr>
      <w:tr w14:paraId="3B222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vAlign w:val="top"/>
          </w:tcPr>
          <w:p w14:paraId="630DE16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60" w:leftChars="0"/>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eastAsia="宋体" w:cs="宋体"/>
                <w:spacing w:val="3"/>
                <w:position w:val="1"/>
                <w:sz w:val="20"/>
                <w:szCs w:val="20"/>
                <w:lang w:val="en-US" w:eastAsia="zh-CN"/>
              </w:rPr>
              <w:t>1</w:t>
            </w:r>
            <w:r>
              <w:rPr>
                <w:rFonts w:hint="eastAsia" w:ascii="宋体" w:hAnsi="宋体" w:cs="宋体"/>
                <w:spacing w:val="3"/>
                <w:position w:val="1"/>
                <w:sz w:val="20"/>
                <w:szCs w:val="20"/>
                <w:lang w:val="en-US" w:eastAsia="zh-CN"/>
              </w:rPr>
              <w:t>0</w:t>
            </w:r>
          </w:p>
        </w:tc>
        <w:tc>
          <w:tcPr>
            <w:tcW w:w="919" w:type="dxa"/>
            <w:vAlign w:val="top"/>
          </w:tcPr>
          <w:p w14:paraId="6C69B0A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248" w:leftChars="0"/>
              <w:textAlignment w:val="baseline"/>
              <w:rPr>
                <w:rFonts w:hint="eastAsia" w:ascii="宋体" w:hAnsi="宋体" w:eastAsia="宋体" w:cs="宋体"/>
                <w:sz w:val="20"/>
                <w:szCs w:val="20"/>
              </w:rPr>
            </w:pPr>
            <w:r>
              <w:rPr>
                <w:rFonts w:ascii="宋体" w:hAnsi="宋体" w:eastAsia="宋体" w:cs="宋体"/>
                <w:spacing w:val="4"/>
                <w:position w:val="1"/>
                <w:sz w:val="20"/>
                <w:szCs w:val="20"/>
              </w:rPr>
              <w:t>V1.0</w:t>
            </w:r>
          </w:p>
        </w:tc>
        <w:tc>
          <w:tcPr>
            <w:tcW w:w="2289" w:type="dxa"/>
            <w:vAlign w:val="top"/>
          </w:tcPr>
          <w:p w14:paraId="433F3574">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114" w:leftChars="0"/>
              <w:jc w:val="center"/>
              <w:textAlignment w:val="baseline"/>
              <w:rPr>
                <w:rFonts w:hint="eastAsia"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510B63A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vAlign w:val="top"/>
          </w:tcPr>
          <w:p w14:paraId="316EE81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leftChars="0"/>
              <w:textAlignment w:val="baseline"/>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89953239"/>
                <w:lang w:val="en-US" w:eastAsia="zh-CN"/>
              </w:rPr>
              <w:t>宋</w:t>
            </w:r>
            <w:r>
              <w:rPr>
                <w:rFonts w:hint="eastAsia" w:ascii="宋体" w:hAnsi="宋体" w:eastAsia="宋体" w:cs="宋体"/>
                <w:spacing w:val="0"/>
                <w:kern w:val="0"/>
                <w:sz w:val="20"/>
                <w:szCs w:val="20"/>
                <w:fitText w:val="600" w:id="189953239"/>
                <w:lang w:val="en-US" w:eastAsia="zh-CN"/>
              </w:rPr>
              <w:t>振</w:t>
            </w:r>
          </w:p>
        </w:tc>
        <w:tc>
          <w:tcPr>
            <w:tcW w:w="1240" w:type="dxa"/>
            <w:vAlign w:val="top"/>
          </w:tcPr>
          <w:p w14:paraId="1F0F140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leftChars="0"/>
              <w:textAlignment w:val="baseline"/>
              <w:rPr>
                <w:rFonts w:hint="eastAsia"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3BEFBB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3A2ED8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4FF2906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77D076B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355B75B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150" w:type="dxa"/>
          </w:tcPr>
          <w:p w14:paraId="25C5A869">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313"/>
              <w:textAlignment w:val="baseline"/>
            </w:pPr>
          </w:p>
        </w:tc>
        <w:tc>
          <w:tcPr>
            <w:tcW w:w="1240" w:type="dxa"/>
          </w:tcPr>
          <w:p w14:paraId="483A9FE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19659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22C30E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1BC94A6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2CF7360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5B279D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150" w:type="dxa"/>
          </w:tcPr>
          <w:p w14:paraId="7BCD2E5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314"/>
              <w:textAlignment w:val="baseline"/>
            </w:pPr>
          </w:p>
        </w:tc>
        <w:tc>
          <w:tcPr>
            <w:tcW w:w="1240" w:type="dxa"/>
          </w:tcPr>
          <w:p w14:paraId="3DFC626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E67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FB5F7A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68900E4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64E82F7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090859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51343DB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6121B5F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FD01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6F5B5F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264D192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0BB4DC4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50DE80B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2E25669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2616BF4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4302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22488C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19" w:type="dxa"/>
          </w:tcPr>
          <w:p w14:paraId="75049A0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89" w:type="dxa"/>
          </w:tcPr>
          <w:p w14:paraId="155176C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48" w:type="dxa"/>
          </w:tcPr>
          <w:p w14:paraId="74A834C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50" w:type="dxa"/>
          </w:tcPr>
          <w:p w14:paraId="60FAD71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40" w:type="dxa"/>
          </w:tcPr>
          <w:p w14:paraId="168ADDD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BFB8F8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41FD3C">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7F396D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_Toc25252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_Toc25252 \h </w:instrText>
          </w:r>
          <w:r>
            <w:fldChar w:fldCharType="separate"/>
          </w:r>
          <w:r>
            <w:t>1</w:t>
          </w:r>
          <w:r>
            <w:fldChar w:fldCharType="end"/>
          </w:r>
          <w:r>
            <w:rPr>
              <w:rFonts w:hint="eastAsia" w:ascii="宋体" w:hAnsi="宋体" w:eastAsia="宋体" w:cs="宋体"/>
              <w:szCs w:val="24"/>
            </w:rPr>
            <w:fldChar w:fldCharType="end"/>
          </w:r>
        </w:p>
        <w:p w14:paraId="6D288F7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_Toc29628 </w:instrText>
          </w:r>
          <w:r>
            <w:rPr>
              <w:rFonts w:hint="eastAsia" w:ascii="宋体" w:hAnsi="宋体" w:eastAsia="宋体" w:cs="宋体"/>
              <w:szCs w:val="24"/>
            </w:rPr>
            <w:fldChar w:fldCharType="separate"/>
          </w:r>
          <w:r>
            <w:rPr>
              <w:rFonts w:hint="eastAsia"/>
              <w:szCs w:val="44"/>
              <w:lang w:val="en-US" w:eastAsia="zh-CN"/>
            </w:rPr>
            <w:t>烟台林海嵎峡田综合体智慧农业大数据平台建设项目数据清洗策略需求分析报告</w:t>
          </w:r>
          <w:r>
            <w:tab/>
          </w:r>
          <w:r>
            <w:fldChar w:fldCharType="begin"/>
          </w:r>
          <w:r>
            <w:instrText xml:space="preserve"> PAGEREF _Toc29628 \h </w:instrText>
          </w:r>
          <w:r>
            <w:fldChar w:fldCharType="separate"/>
          </w:r>
          <w:r>
            <w:t>1</w:t>
          </w:r>
          <w:r>
            <w:fldChar w:fldCharType="end"/>
          </w:r>
          <w:r>
            <w:rPr>
              <w:rFonts w:hint="eastAsia" w:ascii="宋体" w:hAnsi="宋体" w:eastAsia="宋体" w:cs="宋体"/>
              <w:szCs w:val="24"/>
            </w:rPr>
            <w:fldChar w:fldCharType="end"/>
          </w:r>
        </w:p>
        <w:p w14:paraId="7B8000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_Toc9538 </w:instrText>
          </w:r>
          <w:r>
            <w:rPr>
              <w:rFonts w:hint="eastAsia" w:ascii="宋体" w:hAnsi="宋体" w:eastAsia="宋体" w:cs="宋体"/>
              <w:szCs w:val="24"/>
            </w:rPr>
            <w:fldChar w:fldCharType="separate"/>
          </w:r>
          <w:r>
            <w:rPr>
              <w:rFonts w:hint="default"/>
              <w:lang w:val="en-US" w:eastAsia="zh-CN"/>
            </w:rPr>
            <w:t>1. 引言</w:t>
          </w:r>
          <w:r>
            <w:tab/>
          </w:r>
          <w:r>
            <w:fldChar w:fldCharType="begin"/>
          </w:r>
          <w:r>
            <w:instrText xml:space="preserve"> PAGEREF _Toc9538 \h </w:instrText>
          </w:r>
          <w:r>
            <w:fldChar w:fldCharType="separate"/>
          </w:r>
          <w:r>
            <w:t>4</w:t>
          </w:r>
          <w:r>
            <w:fldChar w:fldCharType="end"/>
          </w:r>
          <w:r>
            <w:rPr>
              <w:rFonts w:hint="eastAsia" w:ascii="宋体" w:hAnsi="宋体" w:eastAsia="宋体" w:cs="宋体"/>
              <w:szCs w:val="24"/>
            </w:rPr>
            <w:fldChar w:fldCharType="end"/>
          </w:r>
        </w:p>
        <w:p w14:paraId="10D596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_Toc31477 </w:instrText>
          </w:r>
          <w:r>
            <w:rPr>
              <w:rFonts w:hint="eastAsia" w:ascii="宋体" w:hAnsi="宋体" w:eastAsia="宋体" w:cs="宋体"/>
              <w:szCs w:val="24"/>
            </w:rPr>
            <w:fldChar w:fldCharType="separate"/>
          </w:r>
          <w:r>
            <w:rPr>
              <w:rFonts w:hint="default"/>
              <w:lang w:val="en-US" w:eastAsia="zh-CN"/>
            </w:rPr>
            <w:t>1.1. 报告目的</w:t>
          </w:r>
          <w:r>
            <w:tab/>
          </w:r>
          <w:r>
            <w:fldChar w:fldCharType="begin"/>
          </w:r>
          <w:r>
            <w:instrText xml:space="preserve"> PAGEREF _Toc31477 \h </w:instrText>
          </w:r>
          <w:r>
            <w:fldChar w:fldCharType="separate"/>
          </w:r>
          <w:r>
            <w:t>4</w:t>
          </w:r>
          <w:r>
            <w:fldChar w:fldCharType="end"/>
          </w:r>
          <w:r>
            <w:rPr>
              <w:rFonts w:hint="eastAsia" w:ascii="宋体" w:hAnsi="宋体" w:eastAsia="宋体" w:cs="宋体"/>
              <w:szCs w:val="24"/>
            </w:rPr>
            <w:fldChar w:fldCharType="end"/>
          </w:r>
        </w:p>
        <w:p w14:paraId="7A3DC93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_Toc12542 </w:instrText>
          </w:r>
          <w:r>
            <w:rPr>
              <w:rFonts w:hint="eastAsia" w:ascii="宋体" w:hAnsi="宋体" w:eastAsia="宋体" w:cs="宋体"/>
              <w:szCs w:val="24"/>
            </w:rPr>
            <w:fldChar w:fldCharType="separate"/>
          </w:r>
          <w:r>
            <w:rPr>
              <w:rFonts w:hint="default"/>
              <w:lang w:val="en-US" w:eastAsia="zh-CN"/>
            </w:rPr>
            <w:t>1.2. 编制依据</w:t>
          </w:r>
          <w:r>
            <w:tab/>
          </w:r>
          <w:r>
            <w:fldChar w:fldCharType="begin"/>
          </w:r>
          <w:r>
            <w:instrText xml:space="preserve"> PAGEREF _Toc12542 \h </w:instrText>
          </w:r>
          <w:r>
            <w:fldChar w:fldCharType="separate"/>
          </w:r>
          <w:r>
            <w:t>4</w:t>
          </w:r>
          <w:r>
            <w:fldChar w:fldCharType="end"/>
          </w:r>
          <w:r>
            <w:rPr>
              <w:rFonts w:hint="eastAsia" w:ascii="宋体" w:hAnsi="宋体" w:eastAsia="宋体" w:cs="宋体"/>
              <w:szCs w:val="24"/>
            </w:rPr>
            <w:fldChar w:fldCharType="end"/>
          </w:r>
        </w:p>
        <w:p w14:paraId="55C7B7E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_Toc18349 </w:instrText>
          </w:r>
          <w:r>
            <w:rPr>
              <w:rFonts w:hint="eastAsia" w:ascii="宋体" w:hAnsi="宋体" w:eastAsia="宋体" w:cs="宋体"/>
              <w:szCs w:val="24"/>
            </w:rPr>
            <w:fldChar w:fldCharType="separate"/>
          </w:r>
          <w:r>
            <w:rPr>
              <w:rFonts w:hint="default"/>
              <w:lang w:val="en-US" w:eastAsia="zh-CN"/>
            </w:rPr>
            <w:t>1.3. 预期读者</w:t>
          </w:r>
          <w:r>
            <w:tab/>
          </w:r>
          <w:r>
            <w:fldChar w:fldCharType="begin"/>
          </w:r>
          <w:r>
            <w:instrText xml:space="preserve"> PAGEREF _Toc18349 \h </w:instrText>
          </w:r>
          <w:r>
            <w:fldChar w:fldCharType="separate"/>
          </w:r>
          <w:r>
            <w:t>4</w:t>
          </w:r>
          <w:r>
            <w:fldChar w:fldCharType="end"/>
          </w:r>
          <w:r>
            <w:rPr>
              <w:rFonts w:hint="eastAsia" w:ascii="宋体" w:hAnsi="宋体" w:eastAsia="宋体" w:cs="宋体"/>
              <w:szCs w:val="24"/>
            </w:rPr>
            <w:fldChar w:fldCharType="end"/>
          </w:r>
        </w:p>
        <w:p w14:paraId="6D8930D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_Toc32431 </w:instrText>
          </w:r>
          <w:r>
            <w:rPr>
              <w:rFonts w:hint="eastAsia" w:ascii="宋体" w:hAnsi="宋体" w:eastAsia="宋体" w:cs="宋体"/>
              <w:szCs w:val="24"/>
            </w:rPr>
            <w:fldChar w:fldCharType="separate"/>
          </w:r>
          <w:r>
            <w:rPr>
              <w:rFonts w:hint="default"/>
              <w:lang w:val="en-US" w:eastAsia="zh-CN"/>
            </w:rPr>
            <w:t>2. 项目</w:t>
          </w:r>
          <w:r>
            <w:rPr>
              <w:rFonts w:hint="eastAsia"/>
              <w:lang w:val="en-US" w:eastAsia="zh-CN"/>
            </w:rPr>
            <w:t>背景与数据全景分析</w:t>
          </w:r>
          <w:r>
            <w:tab/>
          </w:r>
          <w:r>
            <w:fldChar w:fldCharType="begin"/>
          </w:r>
          <w:r>
            <w:instrText xml:space="preserve"> PAGEREF _Toc32431 \h </w:instrText>
          </w:r>
          <w:r>
            <w:fldChar w:fldCharType="separate"/>
          </w:r>
          <w:r>
            <w:t>4</w:t>
          </w:r>
          <w:r>
            <w:fldChar w:fldCharType="end"/>
          </w:r>
          <w:r>
            <w:rPr>
              <w:rFonts w:hint="eastAsia" w:ascii="宋体" w:hAnsi="宋体" w:eastAsia="宋体" w:cs="宋体"/>
              <w:szCs w:val="24"/>
            </w:rPr>
            <w:fldChar w:fldCharType="end"/>
          </w:r>
        </w:p>
        <w:p w14:paraId="6693D34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_Toc14376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项目核心目标与数据依赖</w:t>
          </w:r>
          <w:r>
            <w:tab/>
          </w:r>
          <w:r>
            <w:fldChar w:fldCharType="begin"/>
          </w:r>
          <w:r>
            <w:instrText xml:space="preserve"> PAGEREF _Toc14376 \h </w:instrText>
          </w:r>
          <w:r>
            <w:fldChar w:fldCharType="separate"/>
          </w:r>
          <w:r>
            <w:t>4</w:t>
          </w:r>
          <w:r>
            <w:fldChar w:fldCharType="end"/>
          </w:r>
          <w:r>
            <w:rPr>
              <w:rFonts w:hint="eastAsia" w:ascii="宋体" w:hAnsi="宋体" w:eastAsia="宋体" w:cs="宋体"/>
              <w:szCs w:val="24"/>
            </w:rPr>
            <w:fldChar w:fldCharType="end"/>
          </w:r>
        </w:p>
        <w:p w14:paraId="0DCE4C5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_Toc16687 </w:instrText>
          </w:r>
          <w:r>
            <w:rPr>
              <w:rFonts w:hint="eastAsia" w:ascii="宋体" w:hAnsi="宋体" w:eastAsia="宋体" w:cs="宋体"/>
              <w:szCs w:val="24"/>
            </w:rPr>
            <w:fldChar w:fldCharType="separate"/>
          </w:r>
          <w:r>
            <w:rPr>
              <w:rFonts w:hint="default"/>
              <w:lang w:val="en-US" w:eastAsia="zh-CN"/>
            </w:rPr>
            <w:t xml:space="preserve">2.2. </w:t>
          </w:r>
          <w:r>
            <w:t>关键数据源识别与特征分析</w:t>
          </w:r>
          <w:r>
            <w:tab/>
          </w:r>
          <w:r>
            <w:fldChar w:fldCharType="begin"/>
          </w:r>
          <w:r>
            <w:instrText xml:space="preserve"> PAGEREF _Toc16687 \h </w:instrText>
          </w:r>
          <w:r>
            <w:fldChar w:fldCharType="separate"/>
          </w:r>
          <w:r>
            <w:t>4</w:t>
          </w:r>
          <w:r>
            <w:fldChar w:fldCharType="end"/>
          </w:r>
          <w:r>
            <w:rPr>
              <w:rFonts w:hint="eastAsia" w:ascii="宋体" w:hAnsi="宋体" w:eastAsia="宋体" w:cs="宋体"/>
              <w:szCs w:val="24"/>
            </w:rPr>
            <w:fldChar w:fldCharType="end"/>
          </w:r>
        </w:p>
        <w:p w14:paraId="5E706E6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_Toc21236 </w:instrText>
          </w:r>
          <w:r>
            <w:rPr>
              <w:rFonts w:hint="eastAsia" w:ascii="宋体" w:hAnsi="宋体" w:eastAsia="宋体" w:cs="宋体"/>
              <w:szCs w:val="24"/>
            </w:rPr>
            <w:fldChar w:fldCharType="separate"/>
          </w:r>
          <w:r>
            <w:rPr>
              <w:rFonts w:hint="default"/>
              <w:lang w:val="en-US" w:eastAsia="zh-CN"/>
            </w:rPr>
            <w:t>3. 数据清洗核心业务需求</w:t>
          </w:r>
          <w:r>
            <w:tab/>
          </w:r>
          <w:r>
            <w:fldChar w:fldCharType="begin"/>
          </w:r>
          <w:r>
            <w:instrText xml:space="preserve"> PAGEREF _Toc21236 \h </w:instrText>
          </w:r>
          <w:r>
            <w:fldChar w:fldCharType="separate"/>
          </w:r>
          <w:r>
            <w:t>5</w:t>
          </w:r>
          <w:r>
            <w:fldChar w:fldCharType="end"/>
          </w:r>
          <w:r>
            <w:rPr>
              <w:rFonts w:hint="eastAsia" w:ascii="宋体" w:hAnsi="宋体" w:eastAsia="宋体" w:cs="宋体"/>
              <w:szCs w:val="24"/>
            </w:rPr>
            <w:fldChar w:fldCharType="end"/>
          </w:r>
        </w:p>
        <w:p w14:paraId="16F616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_Toc28547 </w:instrText>
          </w:r>
          <w:r>
            <w:rPr>
              <w:rFonts w:hint="eastAsia" w:ascii="宋体" w:hAnsi="宋体" w:eastAsia="宋体" w:cs="宋体"/>
              <w:szCs w:val="24"/>
            </w:rPr>
            <w:fldChar w:fldCharType="separate"/>
          </w:r>
          <w:r>
            <w:rPr>
              <w:rFonts w:hint="default"/>
              <w:lang w:val="en-US" w:eastAsia="zh-CN"/>
            </w:rPr>
            <w:t>3.1. 保障业务决策的准确性与可靠性</w:t>
          </w:r>
          <w:r>
            <w:tab/>
          </w:r>
          <w:r>
            <w:fldChar w:fldCharType="begin"/>
          </w:r>
          <w:r>
            <w:instrText xml:space="preserve"> PAGEREF _Toc28547 \h </w:instrText>
          </w:r>
          <w:r>
            <w:fldChar w:fldCharType="separate"/>
          </w:r>
          <w:r>
            <w:t>5</w:t>
          </w:r>
          <w:r>
            <w:fldChar w:fldCharType="end"/>
          </w:r>
          <w:r>
            <w:rPr>
              <w:rFonts w:hint="eastAsia" w:ascii="宋体" w:hAnsi="宋体" w:eastAsia="宋体" w:cs="宋体"/>
              <w:szCs w:val="24"/>
            </w:rPr>
            <w:fldChar w:fldCharType="end"/>
          </w:r>
        </w:p>
        <w:p w14:paraId="0EFB9C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_Toc23278 </w:instrText>
          </w:r>
          <w:r>
            <w:rPr>
              <w:rFonts w:hint="eastAsia" w:ascii="宋体" w:hAnsi="宋体" w:eastAsia="宋体" w:cs="宋体"/>
              <w:szCs w:val="24"/>
            </w:rPr>
            <w:fldChar w:fldCharType="separate"/>
          </w:r>
          <w:r>
            <w:rPr>
              <w:rFonts w:hint="default"/>
              <w:lang w:val="en-US" w:eastAsia="zh-CN"/>
            </w:rPr>
            <w:t>3.2. 支撑系统实时监控与连续运行</w:t>
          </w:r>
          <w:r>
            <w:tab/>
          </w:r>
          <w:r>
            <w:fldChar w:fldCharType="begin"/>
          </w:r>
          <w:r>
            <w:instrText xml:space="preserve"> PAGEREF _Toc23278 \h </w:instrText>
          </w:r>
          <w:r>
            <w:fldChar w:fldCharType="separate"/>
          </w:r>
          <w:r>
            <w:t>5</w:t>
          </w:r>
          <w:r>
            <w:fldChar w:fldCharType="end"/>
          </w:r>
          <w:r>
            <w:rPr>
              <w:rFonts w:hint="eastAsia" w:ascii="宋体" w:hAnsi="宋体" w:eastAsia="宋体" w:cs="宋体"/>
              <w:szCs w:val="24"/>
            </w:rPr>
            <w:fldChar w:fldCharType="end"/>
          </w:r>
        </w:p>
        <w:p w14:paraId="310DD3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_Toc29019 </w:instrText>
          </w:r>
          <w:r>
            <w:rPr>
              <w:rFonts w:hint="eastAsia" w:ascii="宋体" w:hAnsi="宋体" w:eastAsia="宋体" w:cs="宋体"/>
              <w:szCs w:val="24"/>
            </w:rPr>
            <w:fldChar w:fldCharType="separate"/>
          </w:r>
          <w:r>
            <w:rPr>
              <w:rFonts w:hint="default"/>
              <w:lang w:val="en-US" w:eastAsia="zh-CN"/>
            </w:rPr>
            <w:t>3.3. 实现多源数据的融合与统一</w:t>
          </w:r>
          <w:r>
            <w:tab/>
          </w:r>
          <w:r>
            <w:fldChar w:fldCharType="begin"/>
          </w:r>
          <w:r>
            <w:instrText xml:space="preserve"> PAGEREF _Toc29019 \h </w:instrText>
          </w:r>
          <w:r>
            <w:fldChar w:fldCharType="separate"/>
          </w:r>
          <w:r>
            <w:t>5</w:t>
          </w:r>
          <w:r>
            <w:fldChar w:fldCharType="end"/>
          </w:r>
          <w:r>
            <w:rPr>
              <w:rFonts w:hint="eastAsia" w:ascii="宋体" w:hAnsi="宋体" w:eastAsia="宋体" w:cs="宋体"/>
              <w:szCs w:val="24"/>
            </w:rPr>
            <w:fldChar w:fldCharType="end"/>
          </w:r>
        </w:p>
        <w:p w14:paraId="6442B6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_Toc4156 </w:instrText>
          </w:r>
          <w:r>
            <w:rPr>
              <w:rFonts w:hint="eastAsia" w:ascii="宋体" w:hAnsi="宋体" w:eastAsia="宋体" w:cs="宋体"/>
              <w:szCs w:val="24"/>
            </w:rPr>
            <w:fldChar w:fldCharType="separate"/>
          </w:r>
          <w:r>
            <w:rPr>
              <w:rFonts w:hint="default"/>
              <w:lang w:val="en-US" w:eastAsia="zh-CN"/>
            </w:rPr>
            <w:t>3.4. 满足数据追溯与审计要求</w:t>
          </w:r>
          <w:r>
            <w:tab/>
          </w:r>
          <w:r>
            <w:fldChar w:fldCharType="begin"/>
          </w:r>
          <w:r>
            <w:instrText xml:space="preserve"> PAGEREF _Toc4156 \h </w:instrText>
          </w:r>
          <w:r>
            <w:fldChar w:fldCharType="separate"/>
          </w:r>
          <w:r>
            <w:t>6</w:t>
          </w:r>
          <w:r>
            <w:fldChar w:fldCharType="end"/>
          </w:r>
          <w:r>
            <w:rPr>
              <w:rFonts w:hint="eastAsia" w:ascii="宋体" w:hAnsi="宋体" w:eastAsia="宋体" w:cs="宋体"/>
              <w:szCs w:val="24"/>
            </w:rPr>
            <w:fldChar w:fldCharType="end"/>
          </w:r>
        </w:p>
        <w:p w14:paraId="647947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_Toc2191 </w:instrText>
          </w:r>
          <w:r>
            <w:rPr>
              <w:rFonts w:hint="eastAsia" w:ascii="宋体" w:hAnsi="宋体" w:eastAsia="宋体" w:cs="宋体"/>
              <w:szCs w:val="24"/>
            </w:rPr>
            <w:fldChar w:fldCharType="separate"/>
          </w:r>
          <w:r>
            <w:rPr>
              <w:rFonts w:hint="default"/>
              <w:lang w:val="en-US" w:eastAsia="zh-CN"/>
            </w:rPr>
            <w:t>4. 数据清洗非功能性需求</w:t>
          </w:r>
          <w:r>
            <w:tab/>
          </w:r>
          <w:r>
            <w:fldChar w:fldCharType="begin"/>
          </w:r>
          <w:r>
            <w:instrText xml:space="preserve"> PAGEREF _Toc2191 \h </w:instrText>
          </w:r>
          <w:r>
            <w:fldChar w:fldCharType="separate"/>
          </w:r>
          <w:r>
            <w:t>6</w:t>
          </w:r>
          <w:r>
            <w:fldChar w:fldCharType="end"/>
          </w:r>
          <w:r>
            <w:rPr>
              <w:rFonts w:hint="eastAsia" w:ascii="宋体" w:hAnsi="宋体" w:eastAsia="宋体" w:cs="宋体"/>
              <w:szCs w:val="24"/>
            </w:rPr>
            <w:fldChar w:fldCharType="end"/>
          </w:r>
        </w:p>
        <w:p w14:paraId="0467AB2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_Toc28256 </w:instrText>
          </w:r>
          <w:r>
            <w:rPr>
              <w:rFonts w:hint="eastAsia" w:ascii="宋体" w:hAnsi="宋体" w:eastAsia="宋体" w:cs="宋体"/>
              <w:szCs w:val="24"/>
            </w:rPr>
            <w:fldChar w:fldCharType="separate"/>
          </w:r>
          <w:r>
            <w:rPr>
              <w:rFonts w:hint="default"/>
              <w:lang w:val="en-US" w:eastAsia="zh-CN"/>
            </w:rPr>
            <w:t>4.1. 量化性能指标需求</w:t>
          </w:r>
          <w:r>
            <w:tab/>
          </w:r>
          <w:r>
            <w:fldChar w:fldCharType="begin"/>
          </w:r>
          <w:r>
            <w:instrText xml:space="preserve"> PAGEREF _Toc28256 \h </w:instrText>
          </w:r>
          <w:r>
            <w:fldChar w:fldCharType="separate"/>
          </w:r>
          <w:r>
            <w:t>6</w:t>
          </w:r>
          <w:r>
            <w:fldChar w:fldCharType="end"/>
          </w:r>
          <w:r>
            <w:rPr>
              <w:rFonts w:hint="eastAsia" w:ascii="宋体" w:hAnsi="宋体" w:eastAsia="宋体" w:cs="宋体"/>
              <w:szCs w:val="24"/>
            </w:rPr>
            <w:fldChar w:fldCharType="end"/>
          </w:r>
        </w:p>
        <w:p w14:paraId="1CD635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_Toc10115 </w:instrText>
          </w:r>
          <w:r>
            <w:rPr>
              <w:rFonts w:hint="eastAsia" w:ascii="宋体" w:hAnsi="宋体" w:eastAsia="宋体" w:cs="宋体"/>
              <w:szCs w:val="24"/>
            </w:rPr>
            <w:fldChar w:fldCharType="separate"/>
          </w:r>
          <w:r>
            <w:rPr>
              <w:rFonts w:hint="default"/>
              <w:lang w:val="en-US" w:eastAsia="zh-CN"/>
            </w:rPr>
            <w:t>4.2. 协同流程与管理需求</w:t>
          </w:r>
          <w:r>
            <w:tab/>
          </w:r>
          <w:r>
            <w:fldChar w:fldCharType="begin"/>
          </w:r>
          <w:r>
            <w:instrText xml:space="preserve"> PAGEREF _Toc10115 \h </w:instrText>
          </w:r>
          <w:r>
            <w:fldChar w:fldCharType="separate"/>
          </w:r>
          <w:r>
            <w:t>6</w:t>
          </w:r>
          <w:r>
            <w:fldChar w:fldCharType="end"/>
          </w:r>
          <w:r>
            <w:rPr>
              <w:rFonts w:hint="eastAsia" w:ascii="宋体" w:hAnsi="宋体" w:eastAsia="宋体" w:cs="宋体"/>
              <w:szCs w:val="24"/>
            </w:rPr>
            <w:fldChar w:fldCharType="end"/>
          </w:r>
        </w:p>
        <w:p w14:paraId="3A9D3E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_Toc30602 </w:instrText>
          </w:r>
          <w:r>
            <w:rPr>
              <w:rFonts w:hint="eastAsia" w:ascii="宋体" w:hAnsi="宋体" w:eastAsia="宋体" w:cs="宋体"/>
              <w:szCs w:val="24"/>
            </w:rPr>
            <w:fldChar w:fldCharType="separate"/>
          </w:r>
          <w:r>
            <w:rPr>
              <w:rFonts w:hint="default"/>
              <w:lang w:val="en-US" w:eastAsia="zh-CN"/>
            </w:rPr>
            <w:t>5. 结论与后续工作建议</w:t>
          </w:r>
          <w:r>
            <w:tab/>
          </w:r>
          <w:r>
            <w:fldChar w:fldCharType="begin"/>
          </w:r>
          <w:r>
            <w:instrText xml:space="preserve"> PAGEREF _Toc30602 \h </w:instrText>
          </w:r>
          <w:r>
            <w:fldChar w:fldCharType="separate"/>
          </w:r>
          <w:r>
            <w:t>7</w:t>
          </w:r>
          <w:r>
            <w:fldChar w:fldCharType="end"/>
          </w:r>
          <w:r>
            <w:rPr>
              <w:rFonts w:hint="eastAsia" w:ascii="宋体" w:hAnsi="宋体" w:eastAsia="宋体" w:cs="宋体"/>
              <w:szCs w:val="24"/>
            </w:rPr>
            <w:fldChar w:fldCharType="end"/>
          </w:r>
        </w:p>
        <w:p w14:paraId="7B860A1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_Toc9105 </w:instrText>
          </w:r>
          <w:r>
            <w:rPr>
              <w:rFonts w:hint="eastAsia" w:ascii="宋体" w:hAnsi="宋体" w:eastAsia="宋体" w:cs="宋体"/>
              <w:szCs w:val="24"/>
            </w:rPr>
            <w:fldChar w:fldCharType="separate"/>
          </w:r>
          <w:r>
            <w:rPr>
              <w:rFonts w:hint="default"/>
              <w:lang w:val="en-US" w:eastAsia="zh-CN"/>
            </w:rPr>
            <w:t>5.1. 核心结论</w:t>
          </w:r>
          <w:r>
            <w:tab/>
          </w:r>
          <w:r>
            <w:fldChar w:fldCharType="begin"/>
          </w:r>
          <w:r>
            <w:instrText xml:space="preserve"> PAGEREF _Toc9105 \h </w:instrText>
          </w:r>
          <w:r>
            <w:fldChar w:fldCharType="separate"/>
          </w:r>
          <w:r>
            <w:t>7</w:t>
          </w:r>
          <w:r>
            <w:fldChar w:fldCharType="end"/>
          </w:r>
          <w:r>
            <w:rPr>
              <w:rFonts w:hint="eastAsia" w:ascii="宋体" w:hAnsi="宋体" w:eastAsia="宋体" w:cs="宋体"/>
              <w:szCs w:val="24"/>
            </w:rPr>
            <w:fldChar w:fldCharType="end"/>
          </w:r>
        </w:p>
        <w:p w14:paraId="36B4BC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_Toc24533 </w:instrText>
          </w:r>
          <w:r>
            <w:rPr>
              <w:rFonts w:hint="eastAsia" w:ascii="宋体" w:hAnsi="宋体" w:eastAsia="宋体" w:cs="宋体"/>
              <w:szCs w:val="24"/>
            </w:rPr>
            <w:fldChar w:fldCharType="separate"/>
          </w:r>
          <w:r>
            <w:rPr>
              <w:rFonts w:hint="default"/>
              <w:lang w:val="en-US" w:eastAsia="zh-CN"/>
            </w:rPr>
            <w:t>5.2. 后续工作建议</w:t>
          </w:r>
          <w:r>
            <w:tab/>
          </w:r>
          <w:r>
            <w:fldChar w:fldCharType="begin"/>
          </w:r>
          <w:r>
            <w:instrText xml:space="preserve"> PAGEREF _Toc24533 \h </w:instrText>
          </w:r>
          <w:r>
            <w:fldChar w:fldCharType="separate"/>
          </w:r>
          <w:r>
            <w:t>7</w:t>
          </w:r>
          <w:r>
            <w:fldChar w:fldCharType="end"/>
          </w:r>
          <w:r>
            <w:rPr>
              <w:rFonts w:hint="eastAsia" w:ascii="宋体" w:hAnsi="宋体" w:eastAsia="宋体" w:cs="宋体"/>
              <w:szCs w:val="24"/>
            </w:rPr>
            <w:fldChar w:fldCharType="end"/>
          </w:r>
        </w:p>
        <w:p w14:paraId="386001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095371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8187A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9538"/>
      <w:r>
        <w:rPr>
          <w:rFonts w:hint="default"/>
          <w:lang w:val="en-US" w:eastAsia="zh-CN"/>
        </w:rPr>
        <w:t>引言</w:t>
      </w:r>
      <w:bookmarkEnd w:id="2"/>
    </w:p>
    <w:p w14:paraId="685F1EB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31477"/>
      <w:r>
        <w:rPr>
          <w:rFonts w:hint="default"/>
          <w:lang w:val="en-US" w:eastAsia="zh-CN"/>
        </w:rPr>
        <w:t>报告目的</w:t>
      </w:r>
      <w:bookmarkEnd w:id="3"/>
    </w:p>
    <w:p w14:paraId="740EEBE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旨在从项目甲方（业主）的业务目标与合同约定出发，系统性地分析与定义“智慧农业大数据平台”在数据质量层面的核心需求。本报告的输出，将作为指导和评估乙方（青岛瑞源工程集团有限公司）制定《数据清洗策略方案》及开展后续工作的根本依据与验收基准。</w:t>
      </w:r>
    </w:p>
    <w:p w14:paraId="15010AC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2542"/>
      <w:r>
        <w:rPr>
          <w:rFonts w:hint="default"/>
          <w:lang w:val="en-US" w:eastAsia="zh-CN"/>
        </w:rPr>
        <w:t>编制依据</w:t>
      </w:r>
      <w:bookmarkEnd w:id="4"/>
    </w:p>
    <w:p w14:paraId="4E82E97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《采购合同》及其全部附件。</w:t>
      </w:r>
    </w:p>
    <w:p w14:paraId="4DE7EFC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本项目涉及的智慧农业、园区安防、数据可视化等业务场景的初步目标。</w:t>
      </w:r>
    </w:p>
    <w:p w14:paraId="57455FC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8349"/>
      <w:r>
        <w:rPr>
          <w:rFonts w:hint="default"/>
          <w:lang w:val="en-US" w:eastAsia="zh-CN"/>
        </w:rPr>
        <w:t>预期读者</w:t>
      </w:r>
      <w:bookmarkEnd w:id="5"/>
    </w:p>
    <w:p w14:paraId="0E0987F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甲方项目管理层、技术评审小组</w:t>
      </w:r>
    </w:p>
    <w:p w14:paraId="65B8CA5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乙方项目经理、技术负责人</w:t>
      </w:r>
    </w:p>
    <w:p w14:paraId="4856155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项目后续的数据治理与验收相关方</w:t>
      </w:r>
    </w:p>
    <w:p w14:paraId="5578AC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2431"/>
      <w:r>
        <w:rPr>
          <w:rFonts w:hint="default"/>
          <w:lang w:val="en-US" w:eastAsia="zh-CN"/>
        </w:rPr>
        <w:t>项目</w:t>
      </w:r>
      <w:r>
        <w:rPr>
          <w:rFonts w:hint="eastAsia"/>
          <w:lang w:val="en-US" w:eastAsia="zh-CN"/>
        </w:rPr>
        <w:t>背景与数据全景分析</w:t>
      </w:r>
      <w:bookmarkEnd w:id="6"/>
    </w:p>
    <w:p w14:paraId="114F25D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4376"/>
      <w:r>
        <w:rPr>
          <w:rFonts w:hint="eastAsia"/>
          <w:lang w:val="en-US" w:eastAsia="zh-CN"/>
        </w:rPr>
        <w:t>项目核心目标与数据依赖</w:t>
      </w:r>
      <w:bookmarkEnd w:id="7"/>
    </w:p>
    <w:p w14:paraId="7C8B4E2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的核心目标是建设一个集智慧农业、智能安防、综合运营与可视化展示于一体的数据驱动平台。所有上层智能应用（如AI分析、决策大屏、精准调控）的有效性，均建立在高质量、可信赖的底层数据基础之上。数据质量是决定项目投资回报率的关键因素。</w:t>
      </w:r>
    </w:p>
    <w:p w14:paraId="604E98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6687"/>
      <w:r>
        <w:t>关键数据源识别与特征分析</w:t>
      </w:r>
      <w:bookmarkEnd w:id="8"/>
    </w:p>
    <w:p w14:paraId="0CB519F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主要数据源分类如表2-1所示</w:t>
      </w:r>
    </w:p>
    <w:p w14:paraId="381B1B6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6F2031A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主要数据源分类</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96"/>
        <w:gridCol w:w="3962"/>
        <w:gridCol w:w="4166"/>
      </w:tblGrid>
      <w:tr w14:paraId="38D8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09C6E6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数据域</w:t>
            </w:r>
          </w:p>
        </w:tc>
        <w:tc>
          <w:tcPr>
            <w:tcW w:w="0" w:type="auto"/>
            <w:shd w:val="clear" w:color="auto" w:fill="auto"/>
            <w:tcMar>
              <w:top w:w="120" w:type="dxa"/>
              <w:left w:w="192" w:type="dxa"/>
              <w:bottom w:w="120" w:type="dxa"/>
              <w:right w:w="192" w:type="dxa"/>
            </w:tcMar>
            <w:vAlign w:val="center"/>
          </w:tcPr>
          <w:p w14:paraId="2CA3F9B9">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典型数据源</w:t>
            </w:r>
          </w:p>
        </w:tc>
        <w:tc>
          <w:tcPr>
            <w:tcW w:w="0" w:type="auto"/>
            <w:shd w:val="clear" w:color="auto" w:fill="auto"/>
            <w:tcMar>
              <w:top w:w="120" w:type="dxa"/>
              <w:left w:w="192" w:type="dxa"/>
              <w:bottom w:w="120" w:type="dxa"/>
              <w:right w:w="192" w:type="dxa"/>
            </w:tcMar>
            <w:vAlign w:val="center"/>
          </w:tcPr>
          <w:p w14:paraId="4A0CAF6D">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数据特征与潜在风险</w:t>
            </w:r>
          </w:p>
        </w:tc>
      </w:tr>
      <w:tr w14:paraId="31A8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38A2FD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视频与图像域</w:t>
            </w:r>
          </w:p>
        </w:tc>
        <w:tc>
          <w:tcPr>
            <w:tcW w:w="0" w:type="auto"/>
            <w:shd w:val="clear" w:color="auto" w:fill="auto"/>
            <w:tcMar>
              <w:top w:w="120" w:type="dxa"/>
              <w:left w:w="192" w:type="dxa"/>
              <w:bottom w:w="120" w:type="dxa"/>
              <w:right w:w="192" w:type="dxa"/>
            </w:tcMar>
            <w:vAlign w:val="center"/>
          </w:tcPr>
          <w:p w14:paraId="23AB28CC">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安防/结构化摄像机(1.5.1.1/2)、全景球机(1.5.3.1)、AI布控系统(1.5.2)</w:t>
            </w:r>
          </w:p>
        </w:tc>
        <w:tc>
          <w:tcPr>
            <w:tcW w:w="0" w:type="auto"/>
            <w:shd w:val="clear" w:color="auto" w:fill="auto"/>
            <w:tcMar>
              <w:top w:w="120" w:type="dxa"/>
              <w:left w:w="192" w:type="dxa"/>
              <w:bottom w:w="120" w:type="dxa"/>
              <w:right w:w="0" w:type="dxa"/>
            </w:tcMar>
            <w:vAlign w:val="center"/>
          </w:tcPr>
          <w:p w14:paraId="5C357218">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数据体量巨大；存在视频流中断、编码错误、时间戳不一致、AI模型误识别等风险。</w:t>
            </w:r>
          </w:p>
        </w:tc>
      </w:tr>
      <w:tr w14:paraId="5637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BB7B9C5">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物联网感知域</w:t>
            </w:r>
          </w:p>
        </w:tc>
        <w:tc>
          <w:tcPr>
            <w:tcW w:w="0" w:type="auto"/>
            <w:shd w:val="clear" w:color="auto" w:fill="auto"/>
            <w:tcMar>
              <w:top w:w="120" w:type="dxa"/>
              <w:left w:w="192" w:type="dxa"/>
              <w:bottom w:w="120" w:type="dxa"/>
              <w:right w:w="192" w:type="dxa"/>
            </w:tcMar>
            <w:vAlign w:val="center"/>
          </w:tcPr>
          <w:p w14:paraId="6978C5C5">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太阳能供电系统(1.5.1.3.7-15)、环境传感器（隐含）、设备状态数据</w:t>
            </w:r>
          </w:p>
        </w:tc>
        <w:tc>
          <w:tcPr>
            <w:tcW w:w="0" w:type="auto"/>
            <w:shd w:val="clear" w:color="auto" w:fill="auto"/>
            <w:tcMar>
              <w:top w:w="120" w:type="dxa"/>
              <w:left w:w="192" w:type="dxa"/>
              <w:bottom w:w="120" w:type="dxa"/>
              <w:right w:w="0" w:type="dxa"/>
            </w:tcMar>
            <w:vAlign w:val="center"/>
          </w:tcPr>
          <w:p w14:paraId="1C059D70">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时序数据；易受干扰，产生噪声、跳变、超量程值；通信不稳定易导致数据缺失。</w:t>
            </w:r>
          </w:p>
        </w:tc>
      </w:tr>
      <w:tr w14:paraId="019D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70DB320">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基础设施域</w:t>
            </w:r>
          </w:p>
        </w:tc>
        <w:tc>
          <w:tcPr>
            <w:tcW w:w="0" w:type="auto"/>
            <w:shd w:val="clear" w:color="auto" w:fill="auto"/>
            <w:tcMar>
              <w:top w:w="120" w:type="dxa"/>
              <w:left w:w="192" w:type="dxa"/>
              <w:bottom w:w="120" w:type="dxa"/>
              <w:right w:w="192" w:type="dxa"/>
            </w:tcMar>
            <w:vAlign w:val="center"/>
          </w:tcPr>
          <w:p w14:paraId="14E25A3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网络设备(1.5.1.3.16)、存储阵列(1.5.4.1)、服务器与UPS(3.4/3.5)</w:t>
            </w:r>
          </w:p>
        </w:tc>
        <w:tc>
          <w:tcPr>
            <w:tcW w:w="0" w:type="auto"/>
            <w:shd w:val="clear" w:color="auto" w:fill="auto"/>
            <w:tcMar>
              <w:top w:w="120" w:type="dxa"/>
              <w:left w:w="192" w:type="dxa"/>
              <w:bottom w:w="120" w:type="dxa"/>
              <w:right w:w="0" w:type="dxa"/>
            </w:tcMar>
            <w:vAlign w:val="center"/>
          </w:tcPr>
          <w:p w14:paraId="64ED207C">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日志与性能数据；格式多样；关键告警信息可能被海量信息淹没。</w:t>
            </w:r>
          </w:p>
        </w:tc>
      </w:tr>
      <w:tr w14:paraId="0CF3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6338F8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业务应用域</w:t>
            </w:r>
          </w:p>
        </w:tc>
        <w:tc>
          <w:tcPr>
            <w:tcW w:w="0" w:type="auto"/>
            <w:shd w:val="clear" w:color="auto" w:fill="auto"/>
            <w:tcMar>
              <w:top w:w="120" w:type="dxa"/>
              <w:left w:w="192" w:type="dxa"/>
              <w:bottom w:w="120" w:type="dxa"/>
              <w:right w:w="192" w:type="dxa"/>
            </w:tcMar>
            <w:vAlign w:val="center"/>
          </w:tcPr>
          <w:p w14:paraId="68A9BE3A">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大数据平台、展示系统(3.2.1)、各类管理软件</w:t>
            </w:r>
          </w:p>
        </w:tc>
        <w:tc>
          <w:tcPr>
            <w:tcW w:w="0" w:type="auto"/>
            <w:shd w:val="clear" w:color="auto" w:fill="auto"/>
            <w:tcMar>
              <w:top w:w="120" w:type="dxa"/>
              <w:left w:w="192" w:type="dxa"/>
              <w:bottom w:w="120" w:type="dxa"/>
              <w:right w:w="0" w:type="dxa"/>
            </w:tcMar>
            <w:vAlign w:val="center"/>
          </w:tcPr>
          <w:p w14:paraId="7E22AC6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业务规则复杂；存在数据格式、编码、标准不统一；历史数据质量参差不齐。</w:t>
            </w:r>
          </w:p>
        </w:tc>
      </w:tr>
    </w:tbl>
    <w:p w14:paraId="483092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1236"/>
      <w:r>
        <w:rPr>
          <w:rFonts w:hint="default"/>
          <w:lang w:val="en-US" w:eastAsia="zh-CN"/>
        </w:rPr>
        <w:t>数据清洗核心业务需求</w:t>
      </w:r>
      <w:bookmarkEnd w:id="9"/>
    </w:p>
    <w:p w14:paraId="47C3A66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为确保平台实现预期价值，数据清洗工作必须满足以下源于业务目标的顶层需求：</w:t>
      </w:r>
    </w:p>
    <w:p w14:paraId="30183B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8547"/>
      <w:r>
        <w:rPr>
          <w:rFonts w:hint="default"/>
          <w:lang w:val="en-US" w:eastAsia="zh-CN"/>
        </w:rPr>
        <w:t>保障业务决策的准确性与可靠性</w:t>
      </w:r>
      <w:bookmarkEnd w:id="10"/>
    </w:p>
    <w:p w14:paraId="3F3E721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具体描述：用于农业决策（如灌溉、施肥）的环境传感数据、用于安防报警的AI识别结果、用于大屏展示的综合指标，其准确性必须达到业务可接受的水平。</w:t>
      </w:r>
    </w:p>
    <w:p w14:paraId="012FA31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对清洗工作的要求：必须建立基于业务规则的校验机制，能够识别并剔除或标记明显违背常识与专业逻辑的异常数据（如温湿度逻辑矛盾、在非通行时间出现的车辆信号等）。</w:t>
      </w:r>
    </w:p>
    <w:p w14:paraId="29E968B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3278"/>
      <w:r>
        <w:rPr>
          <w:rFonts w:hint="default"/>
          <w:lang w:val="en-US" w:eastAsia="zh-CN"/>
        </w:rPr>
        <w:t>支撑系统实时监控与连续运行</w:t>
      </w:r>
      <w:bookmarkEnd w:id="11"/>
    </w:p>
    <w:p w14:paraId="74F78A2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具体描述：平台需对园区状态进行7x24小时实时监控，任何关键数据流的中断或长期延迟都将影响运营安全。</w:t>
      </w:r>
    </w:p>
    <w:p w14:paraId="2E708B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对清洗工作的要求：必须建立数据流水线的健康度监控，能快速诊断数据中断源（是设备故障、网络问题还是服务异常），并对非故障性短暂缺失提供合理的插值或填充策略。</w:t>
      </w:r>
    </w:p>
    <w:p w14:paraId="21E1EB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9019"/>
      <w:r>
        <w:rPr>
          <w:rFonts w:hint="default"/>
          <w:lang w:val="en-US" w:eastAsia="zh-CN"/>
        </w:rPr>
        <w:t>实现多源数据的融合与统一</w:t>
      </w:r>
      <w:bookmarkEnd w:id="12"/>
    </w:p>
    <w:p w14:paraId="5AD4905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具体描述：平台需将安防、农业、能源等不同子系统数据在同一视图中进行关联分析与展示。</w:t>
      </w:r>
    </w:p>
    <w:p w14:paraId="6124032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对清洗工作的要求：必须制定并执行统一的数据标准（如设备唯一编码规则、时间戳格式、计量单位），清洗过程需包含对不一致代码、格式的转换与映射，确保数据能基于统一的“主数据”进行关联。</w:t>
      </w:r>
    </w:p>
    <w:p w14:paraId="3CB7D78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4156"/>
      <w:r>
        <w:rPr>
          <w:rFonts w:hint="default"/>
          <w:lang w:val="en-US" w:eastAsia="zh-CN"/>
        </w:rPr>
        <w:t>满足数据追溯与审计要求</w:t>
      </w:r>
      <w:bookmarkEnd w:id="13"/>
    </w:p>
    <w:p w14:paraId="3F98100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具体描述：对于安防事件、生产事故或业务纠纷，需要能够追溯原始数据及数据处理过程。</w:t>
      </w:r>
    </w:p>
    <w:p w14:paraId="17BD7D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对清洗工作的要求：清洗过程必须全程留痕，记录数据从原始状态到最终状态的每一步变换逻辑与责任人（或系统），确保数据血缘清晰、可审计。</w:t>
      </w:r>
    </w:p>
    <w:p w14:paraId="6EE75B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191"/>
      <w:r>
        <w:rPr>
          <w:rFonts w:hint="default"/>
          <w:lang w:val="en-US" w:eastAsia="zh-CN"/>
        </w:rPr>
        <w:t>数据清洗非功能性需求</w:t>
      </w:r>
      <w:bookmarkEnd w:id="14"/>
    </w:p>
    <w:p w14:paraId="213D15A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8256"/>
      <w:r>
        <w:rPr>
          <w:rFonts w:hint="default"/>
          <w:lang w:val="en-US" w:eastAsia="zh-CN"/>
        </w:rPr>
        <w:t>量化性能指标需求</w:t>
      </w:r>
      <w:bookmarkEnd w:id="15"/>
    </w:p>
    <w:p w14:paraId="21283F9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为确保清洗工作本身有效且可控，需预先定义以下可衡量的指标</w:t>
      </w:r>
    </w:p>
    <w:p w14:paraId="348D465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衡量指标如表4-1所示。</w:t>
      </w:r>
    </w:p>
    <w:p w14:paraId="5FBC0922">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衡量指标</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37"/>
        <w:gridCol w:w="2958"/>
        <w:gridCol w:w="4829"/>
      </w:tblGrid>
      <w:tr w14:paraId="7FD9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094E6DF8">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指标类别</w:t>
            </w:r>
          </w:p>
        </w:tc>
        <w:tc>
          <w:tcPr>
            <w:tcW w:w="0" w:type="auto"/>
            <w:shd w:val="clear" w:color="auto" w:fill="auto"/>
            <w:tcMar>
              <w:top w:w="120" w:type="dxa"/>
              <w:left w:w="192" w:type="dxa"/>
              <w:bottom w:w="120" w:type="dxa"/>
              <w:right w:w="192" w:type="dxa"/>
            </w:tcMar>
            <w:vAlign w:val="center"/>
          </w:tcPr>
          <w:p w14:paraId="21430C1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需求描述</w:t>
            </w:r>
          </w:p>
        </w:tc>
        <w:tc>
          <w:tcPr>
            <w:tcW w:w="0" w:type="auto"/>
            <w:shd w:val="clear" w:color="auto" w:fill="auto"/>
            <w:tcMar>
              <w:top w:w="120" w:type="dxa"/>
              <w:left w:w="192" w:type="dxa"/>
              <w:bottom w:w="120" w:type="dxa"/>
              <w:right w:w="192" w:type="dxa"/>
            </w:tcMar>
            <w:vAlign w:val="center"/>
          </w:tcPr>
          <w:p w14:paraId="2D4725E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示例性量化要求</w:t>
            </w:r>
          </w:p>
        </w:tc>
      </w:tr>
      <w:tr w14:paraId="24A4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CC1120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清洗有效性</w:t>
            </w:r>
          </w:p>
        </w:tc>
        <w:tc>
          <w:tcPr>
            <w:tcW w:w="0" w:type="auto"/>
            <w:shd w:val="clear" w:color="auto" w:fill="auto"/>
            <w:tcMar>
              <w:top w:w="120" w:type="dxa"/>
              <w:left w:w="192" w:type="dxa"/>
              <w:bottom w:w="120" w:type="dxa"/>
              <w:right w:w="192" w:type="dxa"/>
            </w:tcMar>
            <w:vAlign w:val="center"/>
          </w:tcPr>
          <w:p w14:paraId="2122474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清洗后数据应达到的质量水平</w:t>
            </w:r>
          </w:p>
        </w:tc>
        <w:tc>
          <w:tcPr>
            <w:tcW w:w="0" w:type="auto"/>
            <w:shd w:val="clear" w:color="auto" w:fill="auto"/>
            <w:tcMar>
              <w:top w:w="120" w:type="dxa"/>
              <w:left w:w="192" w:type="dxa"/>
              <w:bottom w:w="120" w:type="dxa"/>
              <w:right w:w="0" w:type="dxa"/>
            </w:tcMar>
            <w:vAlign w:val="center"/>
          </w:tcPr>
          <w:p w14:paraId="32DA89E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核心业务字段的填充率 ≥ 99%；</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关键识别类数据的准确率 ≥ 95%。</w:t>
            </w:r>
          </w:p>
        </w:tc>
      </w:tr>
      <w:tr w14:paraId="4853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F00362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处理时效性</w:t>
            </w:r>
          </w:p>
        </w:tc>
        <w:tc>
          <w:tcPr>
            <w:tcW w:w="0" w:type="auto"/>
            <w:shd w:val="clear" w:color="auto" w:fill="auto"/>
            <w:tcMar>
              <w:top w:w="120" w:type="dxa"/>
              <w:left w:w="192" w:type="dxa"/>
              <w:bottom w:w="120" w:type="dxa"/>
              <w:right w:w="192" w:type="dxa"/>
            </w:tcMar>
            <w:vAlign w:val="center"/>
          </w:tcPr>
          <w:p w14:paraId="24930D9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清洗过程不应成为数据使用的瓶颈</w:t>
            </w:r>
          </w:p>
        </w:tc>
        <w:tc>
          <w:tcPr>
            <w:tcW w:w="0" w:type="auto"/>
            <w:shd w:val="clear" w:color="auto" w:fill="auto"/>
            <w:tcMar>
              <w:top w:w="120" w:type="dxa"/>
              <w:left w:w="192" w:type="dxa"/>
              <w:bottom w:w="120" w:type="dxa"/>
              <w:right w:w="0" w:type="dxa"/>
            </w:tcMar>
            <w:vAlign w:val="center"/>
          </w:tcPr>
          <w:p w14:paraId="49CD218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95%的数据记录从接入到完成清洗可用，延迟 ≤ 10秒。</w:t>
            </w:r>
          </w:p>
        </w:tc>
      </w:tr>
      <w:tr w14:paraId="3CB9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667751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系统可靠性</w:t>
            </w:r>
          </w:p>
        </w:tc>
        <w:tc>
          <w:tcPr>
            <w:tcW w:w="0" w:type="auto"/>
            <w:shd w:val="clear" w:color="auto" w:fill="auto"/>
            <w:tcMar>
              <w:top w:w="120" w:type="dxa"/>
              <w:left w:w="192" w:type="dxa"/>
              <w:bottom w:w="120" w:type="dxa"/>
              <w:right w:w="192" w:type="dxa"/>
            </w:tcMar>
            <w:vAlign w:val="center"/>
          </w:tcPr>
          <w:p w14:paraId="34396C0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清洗服务本身应高可用</w:t>
            </w:r>
          </w:p>
        </w:tc>
        <w:tc>
          <w:tcPr>
            <w:tcW w:w="0" w:type="auto"/>
            <w:shd w:val="clear" w:color="auto" w:fill="auto"/>
            <w:tcMar>
              <w:top w:w="120" w:type="dxa"/>
              <w:left w:w="192" w:type="dxa"/>
              <w:bottom w:w="120" w:type="dxa"/>
              <w:right w:w="0" w:type="dxa"/>
            </w:tcMar>
            <w:vAlign w:val="center"/>
          </w:tcPr>
          <w:p w14:paraId="5467A74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数据清洗服务可用性 ≥ 99.9%。</w:t>
            </w:r>
          </w:p>
        </w:tc>
      </w:tr>
      <w:tr w14:paraId="54C7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363BA6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流程可管理性</w:t>
            </w:r>
          </w:p>
        </w:tc>
        <w:tc>
          <w:tcPr>
            <w:tcW w:w="0" w:type="auto"/>
            <w:shd w:val="clear" w:color="auto" w:fill="auto"/>
            <w:tcMar>
              <w:top w:w="120" w:type="dxa"/>
              <w:left w:w="192" w:type="dxa"/>
              <w:bottom w:w="120" w:type="dxa"/>
              <w:right w:w="192" w:type="dxa"/>
            </w:tcMar>
            <w:vAlign w:val="center"/>
          </w:tcPr>
          <w:p w14:paraId="0232E3C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清洗规则应易于维护和调整</w:t>
            </w:r>
          </w:p>
        </w:tc>
        <w:tc>
          <w:tcPr>
            <w:tcW w:w="0" w:type="auto"/>
            <w:shd w:val="clear" w:color="auto" w:fill="auto"/>
            <w:tcMar>
              <w:top w:w="120" w:type="dxa"/>
              <w:left w:w="192" w:type="dxa"/>
              <w:bottom w:w="120" w:type="dxa"/>
              <w:right w:w="0" w:type="dxa"/>
            </w:tcMar>
            <w:vAlign w:val="center"/>
          </w:tcPr>
          <w:p w14:paraId="578A24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支持通过配置界面管理80%以上的业务规则，无需修改代码。</w:t>
            </w:r>
          </w:p>
        </w:tc>
      </w:tr>
    </w:tbl>
    <w:p w14:paraId="43FFA36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5134533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0115"/>
      <w:r>
        <w:rPr>
          <w:rFonts w:hint="default"/>
          <w:lang w:val="en-US" w:eastAsia="zh-CN"/>
        </w:rPr>
        <w:t>协同流程与管理需求</w:t>
      </w:r>
      <w:bookmarkEnd w:id="16"/>
    </w:p>
    <w:p w14:paraId="00B8FA7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规则制定流程：必须建立由甲方业务部门发起、双方技术团队确认的数据清洗规则制定与评审闭环流程。</w:t>
      </w:r>
    </w:p>
    <w:p w14:paraId="04D7580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问题处置流程：必须定义清晰的数据质量异常事件（如某类数据准确率持续下降）的发现、上报、分析与处置流程，并明确双方接口人。</w:t>
      </w:r>
    </w:p>
    <w:p w14:paraId="6001134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交付物需求：清洗工作需产出明确的交付物，包括但不限于：</w:t>
      </w:r>
    </w:p>
    <w:p w14:paraId="15E7EB0C">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《数据清洗规则库》</w:t>
      </w:r>
    </w:p>
    <w:p w14:paraId="22136F7A">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《数据质量日报/周报》</w:t>
      </w:r>
    </w:p>
    <w:p w14:paraId="3EF092C0">
      <w:pPr>
        <w:pStyle w:val="3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《清洗过程审计日志》。</w:t>
      </w:r>
    </w:p>
    <w:p w14:paraId="515068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30602"/>
      <w:r>
        <w:rPr>
          <w:rFonts w:hint="default"/>
          <w:lang w:val="en-US" w:eastAsia="zh-CN"/>
        </w:rPr>
        <w:t>结论与后续工作建议</w:t>
      </w:r>
      <w:bookmarkEnd w:id="17"/>
    </w:p>
    <w:p w14:paraId="38A784AF">
      <w:pPr>
        <w:pStyle w:val="31"/>
        <w:bidi w:val="0"/>
        <w:rPr>
          <w:rFonts w:hint="default"/>
          <w:lang w:val="en-US" w:eastAsia="zh-CN"/>
        </w:rPr>
      </w:pPr>
      <w:bookmarkStart w:id="18" w:name="_Toc9105"/>
      <w:r>
        <w:rPr>
          <w:rFonts w:hint="default"/>
          <w:lang w:val="en-US" w:eastAsia="zh-CN"/>
        </w:rPr>
        <w:t>核心结论</w:t>
      </w:r>
      <w:bookmarkEnd w:id="18"/>
    </w:p>
    <w:p w14:paraId="5A9F342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数据环境复杂，业务对数据质量有强依赖性。成功的数据清洗是项目成功的先决条件，而非可选的后期修饰。必须启动一项专项工作，将上述业务与非功能性需求，转化为一份具备可操作性的《数据清洗策略方案》。</w:t>
      </w:r>
    </w:p>
    <w:p w14:paraId="54122132">
      <w:pPr>
        <w:pStyle w:val="31"/>
        <w:bidi w:val="0"/>
        <w:rPr>
          <w:rFonts w:hint="default"/>
          <w:lang w:val="en-US" w:eastAsia="zh-CN"/>
        </w:rPr>
      </w:pPr>
      <w:bookmarkStart w:id="19" w:name="_Toc24533"/>
      <w:r>
        <w:rPr>
          <w:rFonts w:hint="default"/>
          <w:lang w:val="en-US" w:eastAsia="zh-CN"/>
        </w:rPr>
        <w:t>后续工作建议</w:t>
      </w:r>
      <w:bookmarkEnd w:id="19"/>
    </w:p>
    <w:p w14:paraId="5A3FDCA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启动方案编制：建议项目组立即依据本报告，启动《数据清洗策略方案》的编制工作。</w:t>
      </w:r>
    </w:p>
    <w:p w14:paraId="135FECC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方案核心要素：该方案应至少包含：具体清洗场景与规则设计、技术架构与工具选型、详细实施计划（融入项目总工期）、量化验收标准（KPI）、以及满足第4.2条定义的协同管理流程。</w:t>
      </w:r>
    </w:p>
    <w:p w14:paraId="13F088E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评审与确认：该方案需提交甲方项目评审会，由业务方与技术方共同评审确认后，作为项目执行的基准文件之一。</w:t>
      </w:r>
      <w:bookmarkStart w:id="20" w:name="_GoBack"/>
      <w:bookmarkEnd w:id="20"/>
    </w:p>
    <w:p w14:paraId="4E0A3E1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附件：</w:t>
      </w:r>
    </w:p>
    <w:p w14:paraId="66219A1B">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《采购合同》数据相关设备与系统清单摘要</w:t>
      </w:r>
    </w:p>
    <w:p w14:paraId="201A2A0C">
      <w:pPr>
        <w:pStyle w:val="30"/>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关键业务场景与数据质量关联性说明</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1AFA7">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1D4BAD9"/>
    <w:multiLevelType w:val="singleLevel"/>
    <w:tmpl w:val="C1D4BAD9"/>
    <w:lvl w:ilvl="0" w:tentative="0">
      <w:start w:val="1"/>
      <w:numFmt w:val="decimal"/>
      <w:lvlText w:val="%1."/>
      <w:lvlJc w:val="left"/>
      <w:pPr>
        <w:ind w:left="425" w:hanging="425"/>
      </w:pPr>
      <w:rPr>
        <w:rFonts w:hint="default"/>
      </w:rPr>
    </w:lvl>
  </w:abstractNum>
  <w:abstractNum w:abstractNumId="2">
    <w:nsid w:val="E3BB8982"/>
    <w:multiLevelType w:val="singleLevel"/>
    <w:tmpl w:val="E3BB8982"/>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27349C"/>
    <w:rsid w:val="010A29DC"/>
    <w:rsid w:val="0116312F"/>
    <w:rsid w:val="01C62F2B"/>
    <w:rsid w:val="025323D0"/>
    <w:rsid w:val="031C251B"/>
    <w:rsid w:val="05551D4C"/>
    <w:rsid w:val="058368B9"/>
    <w:rsid w:val="08944817"/>
    <w:rsid w:val="09D41DD9"/>
    <w:rsid w:val="0A432F22"/>
    <w:rsid w:val="0BDE699E"/>
    <w:rsid w:val="0BF40511"/>
    <w:rsid w:val="0CF462EF"/>
    <w:rsid w:val="0E010CC3"/>
    <w:rsid w:val="0F503CB0"/>
    <w:rsid w:val="0FF334F9"/>
    <w:rsid w:val="1081433D"/>
    <w:rsid w:val="10861954"/>
    <w:rsid w:val="10C303F0"/>
    <w:rsid w:val="119B31DD"/>
    <w:rsid w:val="11FA1551"/>
    <w:rsid w:val="13AD44C3"/>
    <w:rsid w:val="146B158C"/>
    <w:rsid w:val="15595889"/>
    <w:rsid w:val="15F630D7"/>
    <w:rsid w:val="166D72BD"/>
    <w:rsid w:val="176F54E7"/>
    <w:rsid w:val="182B0F6C"/>
    <w:rsid w:val="1850655B"/>
    <w:rsid w:val="19766A09"/>
    <w:rsid w:val="19A22962"/>
    <w:rsid w:val="19CC03D7"/>
    <w:rsid w:val="19DB686C"/>
    <w:rsid w:val="1A116732"/>
    <w:rsid w:val="1A7C004F"/>
    <w:rsid w:val="1D0333B3"/>
    <w:rsid w:val="1D9B14B8"/>
    <w:rsid w:val="1DB21FDA"/>
    <w:rsid w:val="1E1F09F2"/>
    <w:rsid w:val="1ED335EA"/>
    <w:rsid w:val="1F5A6485"/>
    <w:rsid w:val="1F645556"/>
    <w:rsid w:val="24267527"/>
    <w:rsid w:val="262E41C8"/>
    <w:rsid w:val="26405AAC"/>
    <w:rsid w:val="287E31E4"/>
    <w:rsid w:val="2B8642BE"/>
    <w:rsid w:val="2C38364A"/>
    <w:rsid w:val="2CFF066C"/>
    <w:rsid w:val="2D241E80"/>
    <w:rsid w:val="2E075A2A"/>
    <w:rsid w:val="31700927"/>
    <w:rsid w:val="325356E2"/>
    <w:rsid w:val="33A855B9"/>
    <w:rsid w:val="33AB32FB"/>
    <w:rsid w:val="34E940DB"/>
    <w:rsid w:val="356E638F"/>
    <w:rsid w:val="3623361D"/>
    <w:rsid w:val="38A81BB8"/>
    <w:rsid w:val="393D2C48"/>
    <w:rsid w:val="396673B2"/>
    <w:rsid w:val="3A071104"/>
    <w:rsid w:val="3A59585F"/>
    <w:rsid w:val="3B970A7D"/>
    <w:rsid w:val="3C074E88"/>
    <w:rsid w:val="3CC64D02"/>
    <w:rsid w:val="3D115F7D"/>
    <w:rsid w:val="3F5D36FC"/>
    <w:rsid w:val="3F731171"/>
    <w:rsid w:val="3F9F1F66"/>
    <w:rsid w:val="40755F06"/>
    <w:rsid w:val="419453CF"/>
    <w:rsid w:val="45A81449"/>
    <w:rsid w:val="46003436"/>
    <w:rsid w:val="48111BBD"/>
    <w:rsid w:val="48313466"/>
    <w:rsid w:val="48560E00"/>
    <w:rsid w:val="485633DE"/>
    <w:rsid w:val="49E54A1A"/>
    <w:rsid w:val="4A7E3E3F"/>
    <w:rsid w:val="4AAB6F4F"/>
    <w:rsid w:val="4AAE12AF"/>
    <w:rsid w:val="4AE31708"/>
    <w:rsid w:val="4B63653E"/>
    <w:rsid w:val="4EA4146B"/>
    <w:rsid w:val="50CF33D6"/>
    <w:rsid w:val="51B11685"/>
    <w:rsid w:val="54BC0A6D"/>
    <w:rsid w:val="563665FD"/>
    <w:rsid w:val="56973E7E"/>
    <w:rsid w:val="56F86E76"/>
    <w:rsid w:val="57F30C49"/>
    <w:rsid w:val="58070251"/>
    <w:rsid w:val="58405511"/>
    <w:rsid w:val="588E217A"/>
    <w:rsid w:val="59EC5950"/>
    <w:rsid w:val="5C335AB8"/>
    <w:rsid w:val="5C403D31"/>
    <w:rsid w:val="5C7A36E7"/>
    <w:rsid w:val="5CF03BE9"/>
    <w:rsid w:val="5E0A2849"/>
    <w:rsid w:val="5EC5728B"/>
    <w:rsid w:val="600B28A8"/>
    <w:rsid w:val="611C2FBF"/>
    <w:rsid w:val="62343023"/>
    <w:rsid w:val="64563013"/>
    <w:rsid w:val="652E1513"/>
    <w:rsid w:val="65426E7E"/>
    <w:rsid w:val="65876E75"/>
    <w:rsid w:val="676B34F8"/>
    <w:rsid w:val="69FC2352"/>
    <w:rsid w:val="6B5E1601"/>
    <w:rsid w:val="6CC4450B"/>
    <w:rsid w:val="6CDF4B2B"/>
    <w:rsid w:val="6D1014FE"/>
    <w:rsid w:val="6D1F7993"/>
    <w:rsid w:val="6E23799F"/>
    <w:rsid w:val="6FA32AFD"/>
    <w:rsid w:val="6FE23364"/>
    <w:rsid w:val="71775FF0"/>
    <w:rsid w:val="73C372CA"/>
    <w:rsid w:val="76143E0D"/>
    <w:rsid w:val="76452218"/>
    <w:rsid w:val="77CD4BBB"/>
    <w:rsid w:val="79AB2CDA"/>
    <w:rsid w:val="7A861051"/>
    <w:rsid w:val="7A936255"/>
    <w:rsid w:val="7ADC6261"/>
    <w:rsid w:val="7B006E3F"/>
    <w:rsid w:val="7C640717"/>
    <w:rsid w:val="7C9537CE"/>
    <w:rsid w:val="7D3B25C7"/>
    <w:rsid w:val="7E647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table" w:customStyle="1" w:styleId="41">
    <w:name w:val="Table Normal"/>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842</Words>
  <Characters>973</Characters>
  <Lines>0</Lines>
  <Paragraphs>0</Paragraphs>
  <TotalTime>1</TotalTime>
  <ScaleCrop>false</ScaleCrop>
  <LinksUpToDate>false</LinksUpToDate>
  <CharactersWithSpaces>1013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2025-12-27T15:33:39Z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