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2CC98">
      <w:pPr>
        <w:keepNext w:val="0"/>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cs="宋体"/>
          <w:b/>
          <w:bCs/>
          <w:spacing w:val="-3"/>
          <w:sz w:val="24"/>
          <w:szCs w:val="24"/>
          <w:lang w:val="en-US" w:eastAsia="zh-CN"/>
        </w:rPr>
        <w:t>10</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2</w:t>
      </w:r>
    </w:p>
    <w:p w14:paraId="77C3069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13C4E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5404"/>
      <w:r>
        <w:rPr>
          <w:rFonts w:hint="eastAsia"/>
          <w:lang w:val="en-US" w:eastAsia="zh-CN"/>
        </w:rPr>
        <w:t>青岛瑞源工程集团有限公司</w:t>
      </w:r>
      <w:bookmarkEnd w:id="0"/>
    </w:p>
    <w:p w14:paraId="0B67E186">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黑体"/>
          <w:sz w:val="48"/>
          <w:szCs w:val="48"/>
          <w:lang w:val="en-US" w:eastAsia="zh-CN"/>
        </w:rPr>
      </w:pPr>
      <w:bookmarkStart w:id="1" w:name="_Toc20182"/>
      <w:r>
        <w:rPr>
          <w:rFonts w:hint="eastAsia"/>
          <w:sz w:val="48"/>
          <w:szCs w:val="48"/>
          <w:lang w:val="en-US" w:eastAsia="zh-CN"/>
        </w:rPr>
        <w:t>烟台林海嵎峡田综合体智慧农业大数据平台建设项目数据清洗策略实施方案</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F8EE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vAlign w:val="top"/>
          </w:tcPr>
          <w:p w14:paraId="04D29B57">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编制人:</w:t>
            </w:r>
            <w:r>
              <w:rPr>
                <w:rFonts w:hint="eastAsia" w:ascii="宋体" w:hAnsi="宋体" w:eastAsia="宋体" w:cs="宋体"/>
                <w:sz w:val="21"/>
                <w:szCs w:val="21"/>
                <w:u w:val="single"/>
                <w:lang w:val="en-US" w:eastAsia="zh-CN"/>
              </w:rPr>
              <w:t>张秀才</w:t>
            </w:r>
          </w:p>
        </w:tc>
        <w:tc>
          <w:tcPr>
            <w:tcW w:w="4261" w:type="dxa"/>
            <w:vAlign w:val="top"/>
          </w:tcPr>
          <w:p w14:paraId="4DD0AF45">
            <w:pPr>
              <w:pStyle w:val="30"/>
              <w:keepNext w:val="0"/>
              <w:keepLines w:val="0"/>
              <w:pageBreakBefore w:val="0"/>
              <w:widowControl w:val="0"/>
              <w:kinsoku w:val="0"/>
              <w:wordWrap/>
              <w:overflowPunct/>
              <w:topLinePunct w:val="0"/>
              <w:autoSpaceDE w:val="0"/>
              <w:autoSpaceDN w:val="0"/>
              <w:bidi w:val="0"/>
              <w:adjustRightInd w:val="0"/>
              <w:snapToGrid w:val="0"/>
              <w:ind w:firstLine="420" w:firstLineChars="20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编制时间:</w:t>
            </w:r>
            <w:r>
              <w:rPr>
                <w:rFonts w:hint="default" w:ascii="Arial" w:hAnsi="Arial" w:eastAsia="宋体" w:cs="Arial"/>
                <w:sz w:val="21"/>
                <w:szCs w:val="21"/>
                <w:u w:val="single"/>
                <w:lang w:val="en-US" w:eastAsia="zh-CN"/>
              </w:rPr>
              <w:t>2025.01.10</w:t>
            </w:r>
          </w:p>
        </w:tc>
      </w:tr>
      <w:tr w14:paraId="53C5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vAlign w:val="top"/>
          </w:tcPr>
          <w:p w14:paraId="3A4CA4BB">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napToGrid w:val="0"/>
                <w:color w:val="000000"/>
                <w:kern w:val="0"/>
                <w:sz w:val="21"/>
                <w:szCs w:val="21"/>
                <w:vertAlign w:val="baseline"/>
                <w:lang w:val="en-US" w:eastAsia="zh-CN" w:bidi="ar-SA"/>
              </w:rPr>
            </w:pPr>
            <w:r>
              <w:rPr>
                <w:rFonts w:hint="eastAsia" w:ascii="宋体" w:hAnsi="宋体" w:eastAsia="宋体" w:cs="宋体"/>
                <w:sz w:val="21"/>
                <w:szCs w:val="21"/>
                <w:lang w:val="en-US" w:eastAsia="zh-CN"/>
              </w:rPr>
              <w:t>审核人:</w:t>
            </w:r>
            <w:r>
              <w:rPr>
                <w:rFonts w:hint="eastAsia" w:ascii="宋体" w:hAnsi="宋体" w:eastAsia="宋体" w:cs="宋体"/>
                <w:sz w:val="21"/>
                <w:szCs w:val="21"/>
                <w:u w:val="single"/>
                <w:lang w:val="en-US" w:eastAsia="zh-CN"/>
              </w:rPr>
              <w:t>宋振</w:t>
            </w:r>
          </w:p>
        </w:tc>
        <w:tc>
          <w:tcPr>
            <w:tcW w:w="4261" w:type="dxa"/>
            <w:shd w:val="clear" w:color="auto" w:fill="auto"/>
            <w:vAlign w:val="top"/>
          </w:tcPr>
          <w:p w14:paraId="02713C84">
            <w:pPr>
              <w:pStyle w:val="30"/>
              <w:keepNext w:val="0"/>
              <w:keepLines w:val="0"/>
              <w:pageBreakBefore w:val="0"/>
              <w:widowControl w:val="0"/>
              <w:kinsoku w:val="0"/>
              <w:wordWrap/>
              <w:overflowPunct/>
              <w:topLinePunct w:val="0"/>
              <w:autoSpaceDE w:val="0"/>
              <w:autoSpaceDN w:val="0"/>
              <w:bidi w:val="0"/>
              <w:adjustRightInd w:val="0"/>
              <w:snapToGrid w:val="0"/>
              <w:ind w:firstLine="420" w:firstLineChars="200"/>
              <w:textAlignment w:val="baseline"/>
              <w:rPr>
                <w:rFonts w:hint="eastAsia" w:ascii="宋体" w:hAnsi="宋体" w:eastAsia="宋体" w:cs="宋体"/>
                <w:snapToGrid w:val="0"/>
                <w:color w:val="000000"/>
                <w:kern w:val="0"/>
                <w:sz w:val="21"/>
                <w:szCs w:val="21"/>
                <w:vertAlign w:val="baseline"/>
                <w:lang w:val="en-US" w:eastAsia="zh-CN" w:bidi="ar-SA"/>
              </w:rPr>
            </w:pPr>
            <w:r>
              <w:rPr>
                <w:rFonts w:hint="eastAsia" w:ascii="宋体" w:hAnsi="宋体" w:eastAsia="宋体" w:cs="宋体"/>
                <w:sz w:val="21"/>
                <w:szCs w:val="21"/>
                <w:lang w:val="en-US" w:eastAsia="zh-CN"/>
              </w:rPr>
              <w:t>编制时间:</w:t>
            </w:r>
            <w:r>
              <w:rPr>
                <w:rFonts w:hint="default" w:ascii="Arial" w:hAnsi="Arial" w:eastAsia="宋体" w:cs="Arial"/>
                <w:sz w:val="21"/>
                <w:szCs w:val="21"/>
                <w:u w:val="single"/>
                <w:lang w:val="en-US" w:eastAsia="zh-CN"/>
              </w:rPr>
              <w:t>2025.01.10</w:t>
            </w:r>
          </w:p>
        </w:tc>
      </w:tr>
      <w:tr w14:paraId="216D9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vAlign w:val="top"/>
          </w:tcPr>
          <w:p w14:paraId="7B69AE19">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批准人:</w:t>
            </w:r>
            <w:r>
              <w:rPr>
                <w:rFonts w:hint="eastAsia" w:ascii="宋体" w:hAnsi="宋体" w:eastAsia="宋体" w:cs="宋体"/>
                <w:sz w:val="21"/>
                <w:szCs w:val="21"/>
                <w:u w:val="single"/>
                <w:lang w:val="en-US" w:eastAsia="zh-CN"/>
              </w:rPr>
              <w:t>于瑞建</w:t>
            </w:r>
          </w:p>
        </w:tc>
        <w:tc>
          <w:tcPr>
            <w:tcW w:w="4261" w:type="dxa"/>
            <w:vAlign w:val="top"/>
          </w:tcPr>
          <w:p w14:paraId="1A238B3D">
            <w:pPr>
              <w:pStyle w:val="30"/>
              <w:keepNext w:val="0"/>
              <w:keepLines w:val="0"/>
              <w:pageBreakBefore w:val="0"/>
              <w:widowControl w:val="0"/>
              <w:kinsoku w:val="0"/>
              <w:wordWrap/>
              <w:overflowPunct/>
              <w:topLinePunct w:val="0"/>
              <w:autoSpaceDE w:val="0"/>
              <w:autoSpaceDN w:val="0"/>
              <w:bidi w:val="0"/>
              <w:adjustRightInd w:val="0"/>
              <w:snapToGrid w:val="0"/>
              <w:ind w:firstLine="420" w:firstLineChars="20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审批时间:</w:t>
            </w:r>
            <w:r>
              <w:rPr>
                <w:rFonts w:hint="default" w:ascii="Arial" w:hAnsi="Arial" w:eastAsia="宋体" w:cs="Arial"/>
                <w:sz w:val="21"/>
                <w:szCs w:val="21"/>
                <w:u w:val="single"/>
                <w:lang w:val="en-US" w:eastAsia="zh-CN"/>
              </w:rPr>
              <w:t>2025.01.10</w:t>
            </w:r>
          </w:p>
        </w:tc>
      </w:tr>
    </w:tbl>
    <w:p w14:paraId="47BC4BB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2A15E00">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7BFF6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vAlign w:val="top"/>
          </w:tcPr>
          <w:p w14:paraId="2A0AC3C9">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607" w:leftChars="0"/>
              <w:textAlignment w:val="baseline"/>
              <w:rPr>
                <w:rFonts w:hint="eastAsia" w:ascii="宋体" w:hAnsi="宋体" w:eastAsia="宋体" w:cs="宋体"/>
                <w:sz w:val="20"/>
                <w:szCs w:val="20"/>
              </w:rPr>
            </w:pPr>
            <w:r>
              <w:rPr>
                <w:rFonts w:ascii="宋体" w:hAnsi="宋体" w:eastAsia="宋体" w:cs="宋体"/>
                <w:spacing w:val="-14"/>
                <w:sz w:val="20"/>
                <w:szCs w:val="20"/>
              </w:rPr>
              <w:t>日期</w:t>
            </w:r>
          </w:p>
        </w:tc>
        <w:tc>
          <w:tcPr>
            <w:tcW w:w="919" w:type="dxa"/>
            <w:vAlign w:val="top"/>
          </w:tcPr>
          <w:p w14:paraId="4E5DFA3C">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253" w:leftChars="0"/>
              <w:textAlignment w:val="baseline"/>
              <w:rPr>
                <w:rFonts w:hint="eastAsia" w:ascii="宋体" w:hAnsi="宋体" w:eastAsia="宋体" w:cs="宋体"/>
                <w:sz w:val="20"/>
                <w:szCs w:val="20"/>
              </w:rPr>
            </w:pPr>
            <w:r>
              <w:rPr>
                <w:rFonts w:ascii="宋体" w:hAnsi="宋体" w:eastAsia="宋体" w:cs="宋体"/>
                <w:spacing w:val="4"/>
                <w:sz w:val="20"/>
                <w:szCs w:val="20"/>
              </w:rPr>
              <w:t>版本</w:t>
            </w:r>
          </w:p>
        </w:tc>
        <w:tc>
          <w:tcPr>
            <w:tcW w:w="2289" w:type="dxa"/>
            <w:vAlign w:val="top"/>
          </w:tcPr>
          <w:p w14:paraId="76862C2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730" w:leftChars="0"/>
              <w:textAlignment w:val="baseline"/>
              <w:rPr>
                <w:rFonts w:hint="eastAsia" w:ascii="宋体" w:hAnsi="宋体" w:eastAsia="宋体" w:cs="宋体"/>
                <w:sz w:val="20"/>
                <w:szCs w:val="20"/>
              </w:rPr>
            </w:pPr>
            <w:r>
              <w:rPr>
                <w:rFonts w:ascii="宋体" w:hAnsi="宋体" w:eastAsia="宋体" w:cs="宋体"/>
                <w:spacing w:val="7"/>
                <w:sz w:val="20"/>
                <w:szCs w:val="20"/>
              </w:rPr>
              <w:t>变更说明</w:t>
            </w:r>
          </w:p>
        </w:tc>
        <w:tc>
          <w:tcPr>
            <w:tcW w:w="1148" w:type="dxa"/>
            <w:vAlign w:val="top"/>
          </w:tcPr>
          <w:p w14:paraId="5E78B02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310" w:leftChars="0"/>
              <w:textAlignment w:val="baseline"/>
              <w:rPr>
                <w:rFonts w:hint="eastAsia" w:ascii="宋体" w:hAnsi="宋体" w:eastAsia="宋体" w:cs="宋体"/>
                <w:sz w:val="20"/>
                <w:szCs w:val="20"/>
              </w:rPr>
            </w:pPr>
            <w:r>
              <w:rPr>
                <w:rFonts w:ascii="宋体" w:hAnsi="宋体" w:eastAsia="宋体" w:cs="宋体"/>
                <w:spacing w:val="6"/>
                <w:sz w:val="20"/>
                <w:szCs w:val="20"/>
              </w:rPr>
              <w:t>编写人</w:t>
            </w:r>
          </w:p>
        </w:tc>
        <w:tc>
          <w:tcPr>
            <w:tcW w:w="1150" w:type="dxa"/>
            <w:vAlign w:val="top"/>
          </w:tcPr>
          <w:p w14:paraId="60417F7F">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310" w:leftChars="0"/>
              <w:textAlignment w:val="baseline"/>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vAlign w:val="top"/>
          </w:tcPr>
          <w:p w14:paraId="01FFF2FD">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311" w:leftChars="0"/>
              <w:textAlignment w:val="baseline"/>
              <w:rPr>
                <w:rFonts w:hint="eastAsia" w:ascii="宋体" w:hAnsi="宋体" w:eastAsia="宋体" w:cs="宋体"/>
                <w:sz w:val="20"/>
                <w:szCs w:val="20"/>
              </w:rPr>
            </w:pPr>
            <w:r>
              <w:rPr>
                <w:rFonts w:ascii="宋体" w:hAnsi="宋体" w:eastAsia="宋体" w:cs="宋体"/>
                <w:spacing w:val="7"/>
                <w:sz w:val="20"/>
                <w:szCs w:val="20"/>
              </w:rPr>
              <w:t>批准人</w:t>
            </w:r>
          </w:p>
        </w:tc>
      </w:tr>
      <w:tr w14:paraId="3B2221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vAlign w:val="top"/>
          </w:tcPr>
          <w:p w14:paraId="630DE16E">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260" w:leftChars="0"/>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eastAsia="宋体" w:cs="宋体"/>
                <w:spacing w:val="3"/>
                <w:position w:val="1"/>
                <w:sz w:val="20"/>
                <w:szCs w:val="20"/>
                <w:lang w:val="en-US" w:eastAsia="zh-CN"/>
              </w:rPr>
              <w:t>1</w:t>
            </w:r>
            <w:r>
              <w:rPr>
                <w:rFonts w:hint="eastAsia" w:ascii="宋体" w:hAnsi="宋体" w:cs="宋体"/>
                <w:spacing w:val="3"/>
                <w:position w:val="1"/>
                <w:sz w:val="20"/>
                <w:szCs w:val="20"/>
                <w:lang w:val="en-US" w:eastAsia="zh-CN"/>
              </w:rPr>
              <w:t>0</w:t>
            </w:r>
          </w:p>
        </w:tc>
        <w:tc>
          <w:tcPr>
            <w:tcW w:w="919" w:type="dxa"/>
            <w:vAlign w:val="top"/>
          </w:tcPr>
          <w:p w14:paraId="6C69B0A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248" w:leftChars="0"/>
              <w:textAlignment w:val="baseline"/>
              <w:rPr>
                <w:rFonts w:hint="eastAsia" w:ascii="宋体" w:hAnsi="宋体" w:eastAsia="宋体" w:cs="宋体"/>
                <w:sz w:val="20"/>
                <w:szCs w:val="20"/>
              </w:rPr>
            </w:pPr>
            <w:r>
              <w:rPr>
                <w:rFonts w:ascii="宋体" w:hAnsi="宋体" w:eastAsia="宋体" w:cs="宋体"/>
                <w:spacing w:val="4"/>
                <w:position w:val="1"/>
                <w:sz w:val="20"/>
                <w:szCs w:val="20"/>
              </w:rPr>
              <w:t>V1.0</w:t>
            </w:r>
          </w:p>
        </w:tc>
        <w:tc>
          <w:tcPr>
            <w:tcW w:w="2289" w:type="dxa"/>
            <w:vAlign w:val="top"/>
          </w:tcPr>
          <w:p w14:paraId="433F3574">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114" w:leftChars="0"/>
              <w:jc w:val="center"/>
              <w:textAlignment w:val="baseline"/>
              <w:rPr>
                <w:rFonts w:hint="eastAsia"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510B63A7">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leftChars="0"/>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vAlign w:val="top"/>
          </w:tcPr>
          <w:p w14:paraId="316EE81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leftChars="0"/>
              <w:textAlignment w:val="baseline"/>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89953239"/>
                <w:lang w:val="en-US" w:eastAsia="zh-CN"/>
              </w:rPr>
              <w:t>宋</w:t>
            </w:r>
            <w:r>
              <w:rPr>
                <w:rFonts w:hint="eastAsia" w:ascii="宋体" w:hAnsi="宋体" w:eastAsia="宋体" w:cs="宋体"/>
                <w:spacing w:val="0"/>
                <w:kern w:val="0"/>
                <w:sz w:val="20"/>
                <w:szCs w:val="20"/>
                <w:fitText w:val="600" w:id="189953239"/>
                <w:lang w:val="en-US" w:eastAsia="zh-CN"/>
              </w:rPr>
              <w:t>振</w:t>
            </w:r>
          </w:p>
        </w:tc>
        <w:tc>
          <w:tcPr>
            <w:tcW w:w="1240" w:type="dxa"/>
            <w:vAlign w:val="top"/>
          </w:tcPr>
          <w:p w14:paraId="1F0F140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leftChars="0"/>
              <w:textAlignment w:val="baseline"/>
              <w:rPr>
                <w:rFonts w:hint="eastAsia"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3BEFBB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3A2ED8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4FF2906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77D076B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355B75BF">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textAlignment w:val="baseline"/>
            </w:pPr>
          </w:p>
        </w:tc>
        <w:tc>
          <w:tcPr>
            <w:tcW w:w="1150" w:type="dxa"/>
          </w:tcPr>
          <w:p w14:paraId="25C5A869">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textAlignment w:val="baseline"/>
            </w:pPr>
          </w:p>
        </w:tc>
        <w:tc>
          <w:tcPr>
            <w:tcW w:w="1240" w:type="dxa"/>
          </w:tcPr>
          <w:p w14:paraId="483A9FE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19659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22C30E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1BC94A6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2CF7360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55B279D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textAlignment w:val="baseline"/>
            </w:pPr>
          </w:p>
        </w:tc>
        <w:tc>
          <w:tcPr>
            <w:tcW w:w="1150" w:type="dxa"/>
          </w:tcPr>
          <w:p w14:paraId="7BCD2E5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textAlignment w:val="baseline"/>
            </w:pPr>
          </w:p>
        </w:tc>
        <w:tc>
          <w:tcPr>
            <w:tcW w:w="1240" w:type="dxa"/>
          </w:tcPr>
          <w:p w14:paraId="3DFC626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5E675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FB5F7A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68900E4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64E82F7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5090859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51343DB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6121B5F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FD01E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6F5B5F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264D192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0BB4DC4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50DE80B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2E25669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2616BF4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4302D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22488C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75049A0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155176C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74A834C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60FAD71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168ADDD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2BFB8F84">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841FD3C">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A80DCF3">
          <w:pPr>
            <w:pStyle w:val="16"/>
            <w:tabs>
              <w:tab w:val="right" w:leader="dot" w:pos="8306"/>
            </w:tabs>
          </w:pPr>
          <w:bookmarkStart w:id="20" w:name="_GoBack"/>
          <w:bookmarkEnd w:id="20"/>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_Toc15404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_Toc15404 \h </w:instrText>
          </w:r>
          <w:r>
            <w:fldChar w:fldCharType="separate"/>
          </w:r>
          <w:r>
            <w:t>1</w:t>
          </w:r>
          <w:r>
            <w:fldChar w:fldCharType="end"/>
          </w:r>
          <w:r>
            <w:rPr>
              <w:rFonts w:hint="eastAsia" w:ascii="宋体" w:hAnsi="宋体" w:eastAsia="宋体" w:cs="宋体"/>
              <w:szCs w:val="24"/>
            </w:rPr>
            <w:fldChar w:fldCharType="end"/>
          </w:r>
        </w:p>
        <w:p w14:paraId="4DA6654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_Toc20182 </w:instrText>
          </w:r>
          <w:r>
            <w:rPr>
              <w:rFonts w:hint="eastAsia" w:ascii="宋体" w:hAnsi="宋体" w:eastAsia="宋体" w:cs="宋体"/>
              <w:szCs w:val="24"/>
            </w:rPr>
            <w:fldChar w:fldCharType="separate"/>
          </w:r>
          <w:r>
            <w:rPr>
              <w:rFonts w:hint="eastAsia"/>
              <w:szCs w:val="48"/>
              <w:lang w:val="en-US" w:eastAsia="zh-CN"/>
            </w:rPr>
            <w:t>烟台林海嵎峡田综合体智慧农业大数据平台建设项目数据清洗策略实施方案</w:t>
          </w:r>
          <w:r>
            <w:tab/>
          </w:r>
          <w:r>
            <w:fldChar w:fldCharType="begin"/>
          </w:r>
          <w:r>
            <w:instrText xml:space="preserve"> PAGEREF _Toc20182 \h </w:instrText>
          </w:r>
          <w:r>
            <w:fldChar w:fldCharType="separate"/>
          </w:r>
          <w:r>
            <w:t>1</w:t>
          </w:r>
          <w:r>
            <w:fldChar w:fldCharType="end"/>
          </w:r>
          <w:r>
            <w:rPr>
              <w:rFonts w:hint="eastAsia" w:ascii="宋体" w:hAnsi="宋体" w:eastAsia="宋体" w:cs="宋体"/>
              <w:szCs w:val="24"/>
            </w:rPr>
            <w:fldChar w:fldCharType="end"/>
          </w:r>
        </w:p>
        <w:p w14:paraId="3043350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_Toc5448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_Toc5448 \h </w:instrText>
          </w:r>
          <w:r>
            <w:fldChar w:fldCharType="separate"/>
          </w:r>
          <w:r>
            <w:t>4</w:t>
          </w:r>
          <w:r>
            <w:fldChar w:fldCharType="end"/>
          </w:r>
          <w:r>
            <w:rPr>
              <w:rFonts w:hint="eastAsia" w:ascii="宋体" w:hAnsi="宋体" w:eastAsia="宋体" w:cs="宋体"/>
              <w:szCs w:val="24"/>
            </w:rPr>
            <w:fldChar w:fldCharType="end"/>
          </w:r>
        </w:p>
        <w:p w14:paraId="018C8CC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_Toc15761 </w:instrText>
          </w:r>
          <w:r>
            <w:rPr>
              <w:rFonts w:hint="eastAsia" w:ascii="宋体" w:hAnsi="宋体" w:eastAsia="宋体" w:cs="宋体"/>
              <w:szCs w:val="24"/>
            </w:rPr>
            <w:fldChar w:fldCharType="separate"/>
          </w:r>
          <w:r>
            <w:rPr>
              <w:rFonts w:hint="default"/>
              <w:lang w:val="en-US" w:eastAsia="zh-CN"/>
            </w:rPr>
            <w:t>1.1. 方案目的</w:t>
          </w:r>
          <w:r>
            <w:tab/>
          </w:r>
          <w:r>
            <w:fldChar w:fldCharType="begin"/>
          </w:r>
          <w:r>
            <w:instrText xml:space="preserve"> PAGEREF _Toc15761 \h </w:instrText>
          </w:r>
          <w:r>
            <w:fldChar w:fldCharType="separate"/>
          </w:r>
          <w:r>
            <w:t>4</w:t>
          </w:r>
          <w:r>
            <w:fldChar w:fldCharType="end"/>
          </w:r>
          <w:r>
            <w:rPr>
              <w:rFonts w:hint="eastAsia" w:ascii="宋体" w:hAnsi="宋体" w:eastAsia="宋体" w:cs="宋体"/>
              <w:szCs w:val="24"/>
            </w:rPr>
            <w:fldChar w:fldCharType="end"/>
          </w:r>
        </w:p>
        <w:p w14:paraId="77CBAE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_Toc11534 </w:instrText>
          </w:r>
          <w:r>
            <w:rPr>
              <w:rFonts w:hint="eastAsia" w:ascii="宋体" w:hAnsi="宋体" w:eastAsia="宋体" w:cs="宋体"/>
              <w:szCs w:val="24"/>
            </w:rPr>
            <w:fldChar w:fldCharType="separate"/>
          </w:r>
          <w:r>
            <w:rPr>
              <w:rFonts w:hint="default"/>
              <w:lang w:val="en-US" w:eastAsia="zh-CN"/>
            </w:rPr>
            <w:t>1.2. 编制依据</w:t>
          </w:r>
          <w:r>
            <w:tab/>
          </w:r>
          <w:r>
            <w:fldChar w:fldCharType="begin"/>
          </w:r>
          <w:r>
            <w:instrText xml:space="preserve"> PAGEREF _Toc11534 \h </w:instrText>
          </w:r>
          <w:r>
            <w:fldChar w:fldCharType="separate"/>
          </w:r>
          <w:r>
            <w:t>4</w:t>
          </w:r>
          <w:r>
            <w:fldChar w:fldCharType="end"/>
          </w:r>
          <w:r>
            <w:rPr>
              <w:rFonts w:hint="eastAsia" w:ascii="宋体" w:hAnsi="宋体" w:eastAsia="宋体" w:cs="宋体"/>
              <w:szCs w:val="24"/>
            </w:rPr>
            <w:fldChar w:fldCharType="end"/>
          </w:r>
        </w:p>
        <w:p w14:paraId="07DDB41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_Toc21499 </w:instrText>
          </w:r>
          <w:r>
            <w:rPr>
              <w:rFonts w:hint="eastAsia" w:ascii="宋体" w:hAnsi="宋体" w:eastAsia="宋体" w:cs="宋体"/>
              <w:szCs w:val="24"/>
            </w:rPr>
            <w:fldChar w:fldCharType="separate"/>
          </w:r>
          <w:r>
            <w:rPr>
              <w:rFonts w:hint="default"/>
              <w:lang w:val="en-US" w:eastAsia="zh-CN"/>
            </w:rPr>
            <w:t>1.3. 总体目标</w:t>
          </w:r>
          <w:r>
            <w:tab/>
          </w:r>
          <w:r>
            <w:fldChar w:fldCharType="begin"/>
          </w:r>
          <w:r>
            <w:instrText xml:space="preserve"> PAGEREF _Toc21499 \h </w:instrText>
          </w:r>
          <w:r>
            <w:fldChar w:fldCharType="separate"/>
          </w:r>
          <w:r>
            <w:t>4</w:t>
          </w:r>
          <w:r>
            <w:fldChar w:fldCharType="end"/>
          </w:r>
          <w:r>
            <w:rPr>
              <w:rFonts w:hint="eastAsia" w:ascii="宋体" w:hAnsi="宋体" w:eastAsia="宋体" w:cs="宋体"/>
              <w:szCs w:val="24"/>
            </w:rPr>
            <w:fldChar w:fldCharType="end"/>
          </w:r>
        </w:p>
        <w:p w14:paraId="1ABEFF3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_Toc13235 </w:instrText>
          </w:r>
          <w:r>
            <w:rPr>
              <w:rFonts w:hint="eastAsia" w:ascii="宋体" w:hAnsi="宋体" w:eastAsia="宋体" w:cs="宋体"/>
              <w:szCs w:val="24"/>
            </w:rPr>
            <w:fldChar w:fldCharType="separate"/>
          </w:r>
          <w:r>
            <w:rPr>
              <w:rFonts w:hint="default"/>
              <w:lang w:val="en-US" w:eastAsia="zh-CN"/>
            </w:rPr>
            <w:t>2. 数据清洗详细设计</w:t>
          </w:r>
          <w:r>
            <w:tab/>
          </w:r>
          <w:r>
            <w:fldChar w:fldCharType="begin"/>
          </w:r>
          <w:r>
            <w:instrText xml:space="preserve"> PAGEREF _Toc13235 \h </w:instrText>
          </w:r>
          <w:r>
            <w:fldChar w:fldCharType="separate"/>
          </w:r>
          <w:r>
            <w:t>4</w:t>
          </w:r>
          <w:r>
            <w:fldChar w:fldCharType="end"/>
          </w:r>
          <w:r>
            <w:rPr>
              <w:rFonts w:hint="eastAsia" w:ascii="宋体" w:hAnsi="宋体" w:eastAsia="宋体" w:cs="宋体"/>
              <w:szCs w:val="24"/>
            </w:rPr>
            <w:fldChar w:fldCharType="end"/>
          </w:r>
        </w:p>
        <w:p w14:paraId="11B5E7A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_Toc14588 </w:instrText>
          </w:r>
          <w:r>
            <w:rPr>
              <w:rFonts w:hint="eastAsia" w:ascii="宋体" w:hAnsi="宋体" w:eastAsia="宋体" w:cs="宋体"/>
              <w:szCs w:val="24"/>
            </w:rPr>
            <w:fldChar w:fldCharType="separate"/>
          </w:r>
          <w:r>
            <w:rPr>
              <w:rFonts w:hint="default"/>
              <w:lang w:val="en-US" w:eastAsia="zh-CN"/>
            </w:rPr>
            <w:t>2.1. 分域清洗策略</w:t>
          </w:r>
          <w:r>
            <w:tab/>
          </w:r>
          <w:r>
            <w:fldChar w:fldCharType="begin"/>
          </w:r>
          <w:r>
            <w:instrText xml:space="preserve"> PAGEREF _Toc14588 \h </w:instrText>
          </w:r>
          <w:r>
            <w:fldChar w:fldCharType="separate"/>
          </w:r>
          <w:r>
            <w:t>4</w:t>
          </w:r>
          <w:r>
            <w:fldChar w:fldCharType="end"/>
          </w:r>
          <w:r>
            <w:rPr>
              <w:rFonts w:hint="eastAsia" w:ascii="宋体" w:hAnsi="宋体" w:eastAsia="宋体" w:cs="宋体"/>
              <w:szCs w:val="24"/>
            </w:rPr>
            <w:fldChar w:fldCharType="end"/>
          </w:r>
        </w:p>
        <w:p w14:paraId="1BD929A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_Toc5631 </w:instrText>
          </w:r>
          <w:r>
            <w:rPr>
              <w:rFonts w:hint="eastAsia" w:ascii="宋体" w:hAnsi="宋体" w:eastAsia="宋体" w:cs="宋体"/>
              <w:szCs w:val="24"/>
            </w:rPr>
            <w:fldChar w:fldCharType="separate"/>
          </w:r>
          <w:r>
            <w:rPr>
              <w:rFonts w:hint="default"/>
              <w:lang w:val="en-US" w:eastAsia="zh-CN"/>
            </w:rPr>
            <w:t>2.1.1. 视频与图像数据域</w:t>
          </w:r>
          <w:r>
            <w:tab/>
          </w:r>
          <w:r>
            <w:fldChar w:fldCharType="begin"/>
          </w:r>
          <w:r>
            <w:instrText xml:space="preserve"> PAGEREF _Toc5631 \h </w:instrText>
          </w:r>
          <w:r>
            <w:fldChar w:fldCharType="separate"/>
          </w:r>
          <w:r>
            <w:t>4</w:t>
          </w:r>
          <w:r>
            <w:fldChar w:fldCharType="end"/>
          </w:r>
          <w:r>
            <w:rPr>
              <w:rFonts w:hint="eastAsia" w:ascii="宋体" w:hAnsi="宋体" w:eastAsia="宋体" w:cs="宋体"/>
              <w:szCs w:val="24"/>
            </w:rPr>
            <w:fldChar w:fldCharType="end"/>
          </w:r>
        </w:p>
        <w:p w14:paraId="52785D0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_Toc27086 </w:instrText>
          </w:r>
          <w:r>
            <w:rPr>
              <w:rFonts w:hint="eastAsia" w:ascii="宋体" w:hAnsi="宋体" w:eastAsia="宋体" w:cs="宋体"/>
              <w:szCs w:val="24"/>
            </w:rPr>
            <w:fldChar w:fldCharType="separate"/>
          </w:r>
          <w:r>
            <w:rPr>
              <w:rFonts w:hint="default"/>
              <w:lang w:val="en-US" w:eastAsia="zh-CN"/>
            </w:rPr>
            <w:t>2.1.2. 物联网感知数据域</w:t>
          </w:r>
          <w:r>
            <w:tab/>
          </w:r>
          <w:r>
            <w:fldChar w:fldCharType="begin"/>
          </w:r>
          <w:r>
            <w:instrText xml:space="preserve"> PAGEREF _Toc27086 \h </w:instrText>
          </w:r>
          <w:r>
            <w:fldChar w:fldCharType="separate"/>
          </w:r>
          <w:r>
            <w:t>5</w:t>
          </w:r>
          <w:r>
            <w:fldChar w:fldCharType="end"/>
          </w:r>
          <w:r>
            <w:rPr>
              <w:rFonts w:hint="eastAsia" w:ascii="宋体" w:hAnsi="宋体" w:eastAsia="宋体" w:cs="宋体"/>
              <w:szCs w:val="24"/>
            </w:rPr>
            <w:fldChar w:fldCharType="end"/>
          </w:r>
        </w:p>
        <w:p w14:paraId="5D9F91A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_Toc22923 </w:instrText>
          </w:r>
          <w:r>
            <w:rPr>
              <w:rFonts w:hint="eastAsia" w:ascii="宋体" w:hAnsi="宋体" w:eastAsia="宋体" w:cs="宋体"/>
              <w:szCs w:val="24"/>
            </w:rPr>
            <w:fldChar w:fldCharType="separate"/>
          </w:r>
          <w:r>
            <w:rPr>
              <w:rFonts w:hint="default"/>
              <w:lang w:val="en-US" w:eastAsia="zh-CN"/>
            </w:rPr>
            <w:t>2.1.3. 基础设施日志数据域</w:t>
          </w:r>
          <w:r>
            <w:tab/>
          </w:r>
          <w:r>
            <w:fldChar w:fldCharType="begin"/>
          </w:r>
          <w:r>
            <w:instrText xml:space="preserve"> PAGEREF _Toc22923 \h </w:instrText>
          </w:r>
          <w:r>
            <w:fldChar w:fldCharType="separate"/>
          </w:r>
          <w:r>
            <w:t>5</w:t>
          </w:r>
          <w:r>
            <w:fldChar w:fldCharType="end"/>
          </w:r>
          <w:r>
            <w:rPr>
              <w:rFonts w:hint="eastAsia" w:ascii="宋体" w:hAnsi="宋体" w:eastAsia="宋体" w:cs="宋体"/>
              <w:szCs w:val="24"/>
            </w:rPr>
            <w:fldChar w:fldCharType="end"/>
          </w:r>
        </w:p>
        <w:p w14:paraId="6392343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_Toc1479 </w:instrText>
          </w:r>
          <w:r>
            <w:rPr>
              <w:rFonts w:hint="eastAsia" w:ascii="宋体" w:hAnsi="宋体" w:eastAsia="宋体" w:cs="宋体"/>
              <w:szCs w:val="24"/>
            </w:rPr>
            <w:fldChar w:fldCharType="separate"/>
          </w:r>
          <w:r>
            <w:rPr>
              <w:rFonts w:hint="default"/>
              <w:lang w:val="en-US" w:eastAsia="zh-CN"/>
            </w:rPr>
            <w:t>2.1.4. 业务与应用数据域</w:t>
          </w:r>
          <w:r>
            <w:tab/>
          </w:r>
          <w:r>
            <w:fldChar w:fldCharType="begin"/>
          </w:r>
          <w:r>
            <w:instrText xml:space="preserve"> PAGEREF _Toc1479 \h </w:instrText>
          </w:r>
          <w:r>
            <w:fldChar w:fldCharType="separate"/>
          </w:r>
          <w:r>
            <w:t>5</w:t>
          </w:r>
          <w:r>
            <w:fldChar w:fldCharType="end"/>
          </w:r>
          <w:r>
            <w:rPr>
              <w:rFonts w:hint="eastAsia" w:ascii="宋体" w:hAnsi="宋体" w:eastAsia="宋体" w:cs="宋体"/>
              <w:szCs w:val="24"/>
            </w:rPr>
            <w:fldChar w:fldCharType="end"/>
          </w:r>
        </w:p>
        <w:p w14:paraId="6495836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_Toc6129 </w:instrText>
          </w:r>
          <w:r>
            <w:rPr>
              <w:rFonts w:hint="eastAsia" w:ascii="宋体" w:hAnsi="宋体" w:eastAsia="宋体" w:cs="宋体"/>
              <w:szCs w:val="24"/>
            </w:rPr>
            <w:fldChar w:fldCharType="separate"/>
          </w:r>
          <w:r>
            <w:rPr>
              <w:rFonts w:hint="default"/>
              <w:lang w:val="en-US" w:eastAsia="zh-CN"/>
            </w:rPr>
            <w:t>2.2. 技术架构与实施路径</w:t>
          </w:r>
          <w:r>
            <w:tab/>
          </w:r>
          <w:r>
            <w:fldChar w:fldCharType="begin"/>
          </w:r>
          <w:r>
            <w:instrText xml:space="preserve"> PAGEREF _Toc6129 \h </w:instrText>
          </w:r>
          <w:r>
            <w:fldChar w:fldCharType="separate"/>
          </w:r>
          <w:r>
            <w:t>5</w:t>
          </w:r>
          <w:r>
            <w:fldChar w:fldCharType="end"/>
          </w:r>
          <w:r>
            <w:rPr>
              <w:rFonts w:hint="eastAsia" w:ascii="宋体" w:hAnsi="宋体" w:eastAsia="宋体" w:cs="宋体"/>
              <w:szCs w:val="24"/>
            </w:rPr>
            <w:fldChar w:fldCharType="end"/>
          </w:r>
        </w:p>
        <w:p w14:paraId="0C350D3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_Toc16711 </w:instrText>
          </w:r>
          <w:r>
            <w:rPr>
              <w:rFonts w:hint="eastAsia" w:ascii="宋体" w:hAnsi="宋体" w:eastAsia="宋体" w:cs="宋体"/>
              <w:szCs w:val="24"/>
            </w:rPr>
            <w:fldChar w:fldCharType="separate"/>
          </w:r>
          <w:r>
            <w:rPr>
              <w:rFonts w:hint="default"/>
              <w:lang w:val="en-US" w:eastAsia="zh-CN"/>
            </w:rPr>
            <w:t>3. 实施与管理规划</w:t>
          </w:r>
          <w:r>
            <w:tab/>
          </w:r>
          <w:r>
            <w:fldChar w:fldCharType="begin"/>
          </w:r>
          <w:r>
            <w:instrText xml:space="preserve"> PAGEREF _Toc16711 \h </w:instrText>
          </w:r>
          <w:r>
            <w:fldChar w:fldCharType="separate"/>
          </w:r>
          <w:r>
            <w:t>6</w:t>
          </w:r>
          <w:r>
            <w:fldChar w:fldCharType="end"/>
          </w:r>
          <w:r>
            <w:rPr>
              <w:rFonts w:hint="eastAsia" w:ascii="宋体" w:hAnsi="宋体" w:eastAsia="宋体" w:cs="宋体"/>
              <w:szCs w:val="24"/>
            </w:rPr>
            <w:fldChar w:fldCharType="end"/>
          </w:r>
        </w:p>
        <w:p w14:paraId="58773B2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_Toc30838 </w:instrText>
          </w:r>
          <w:r>
            <w:rPr>
              <w:rFonts w:hint="eastAsia" w:ascii="宋体" w:hAnsi="宋体" w:eastAsia="宋体" w:cs="宋体"/>
              <w:szCs w:val="24"/>
            </w:rPr>
            <w:fldChar w:fldCharType="separate"/>
          </w:r>
          <w:r>
            <w:rPr>
              <w:rFonts w:hint="default"/>
              <w:lang w:val="en-US" w:eastAsia="zh-CN"/>
            </w:rPr>
            <w:t>3.1. 阶段化实施计划</w:t>
          </w:r>
          <w:r>
            <w:tab/>
          </w:r>
          <w:r>
            <w:fldChar w:fldCharType="begin"/>
          </w:r>
          <w:r>
            <w:instrText xml:space="preserve"> PAGEREF _Toc30838 \h </w:instrText>
          </w:r>
          <w:r>
            <w:fldChar w:fldCharType="separate"/>
          </w:r>
          <w:r>
            <w:t>6</w:t>
          </w:r>
          <w:r>
            <w:fldChar w:fldCharType="end"/>
          </w:r>
          <w:r>
            <w:rPr>
              <w:rFonts w:hint="eastAsia" w:ascii="宋体" w:hAnsi="宋体" w:eastAsia="宋体" w:cs="宋体"/>
              <w:szCs w:val="24"/>
            </w:rPr>
            <w:fldChar w:fldCharType="end"/>
          </w:r>
        </w:p>
        <w:p w14:paraId="35F1CC6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 </w:instrText>
          </w:r>
          <w:r>
            <w:rPr>
              <w:rFonts w:hint="eastAsia" w:ascii="宋体" w:hAnsi="宋体" w:eastAsia="宋体" w:cs="宋体"/>
              <w:szCs w:val="24"/>
            </w:rPr>
            <w:fldChar w:fldCharType="separate"/>
          </w:r>
          <w:r>
            <w:rPr>
              <w:rFonts w:hint="default"/>
              <w:lang w:val="en-US" w:eastAsia="zh-CN"/>
            </w:rPr>
            <w:t>3.2. 组织与职责分工</w:t>
          </w:r>
          <w:r>
            <w:tab/>
          </w:r>
          <w:r>
            <w:fldChar w:fldCharType="begin"/>
          </w:r>
          <w:r>
            <w:instrText xml:space="preserve"> PAGEREF _Toc326 \h </w:instrText>
          </w:r>
          <w:r>
            <w:fldChar w:fldCharType="separate"/>
          </w:r>
          <w:r>
            <w:t>6</w:t>
          </w:r>
          <w:r>
            <w:fldChar w:fldCharType="end"/>
          </w:r>
          <w:r>
            <w:rPr>
              <w:rFonts w:hint="eastAsia" w:ascii="宋体" w:hAnsi="宋体" w:eastAsia="宋体" w:cs="宋体"/>
              <w:szCs w:val="24"/>
            </w:rPr>
            <w:fldChar w:fldCharType="end"/>
          </w:r>
        </w:p>
        <w:p w14:paraId="15A2230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_Toc17391 </w:instrText>
          </w:r>
          <w:r>
            <w:rPr>
              <w:rFonts w:hint="eastAsia" w:ascii="宋体" w:hAnsi="宋体" w:eastAsia="宋体" w:cs="宋体"/>
              <w:szCs w:val="24"/>
            </w:rPr>
            <w:fldChar w:fldCharType="separate"/>
          </w:r>
          <w:r>
            <w:rPr>
              <w:rFonts w:hint="default"/>
              <w:lang w:val="en-US" w:eastAsia="zh-CN"/>
            </w:rPr>
            <w:t>3.3. 关键交付物</w:t>
          </w:r>
          <w:r>
            <w:tab/>
          </w:r>
          <w:r>
            <w:fldChar w:fldCharType="begin"/>
          </w:r>
          <w:r>
            <w:instrText xml:space="preserve"> PAGEREF _Toc17391 \h </w:instrText>
          </w:r>
          <w:r>
            <w:fldChar w:fldCharType="separate"/>
          </w:r>
          <w:r>
            <w:t>6</w:t>
          </w:r>
          <w:r>
            <w:fldChar w:fldCharType="end"/>
          </w:r>
          <w:r>
            <w:rPr>
              <w:rFonts w:hint="eastAsia" w:ascii="宋体" w:hAnsi="宋体" w:eastAsia="宋体" w:cs="宋体"/>
              <w:szCs w:val="24"/>
            </w:rPr>
            <w:fldChar w:fldCharType="end"/>
          </w:r>
        </w:p>
        <w:p w14:paraId="1298989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_Toc27669 </w:instrText>
          </w:r>
          <w:r>
            <w:rPr>
              <w:rFonts w:hint="eastAsia" w:ascii="宋体" w:hAnsi="宋体" w:eastAsia="宋体" w:cs="宋体"/>
              <w:szCs w:val="24"/>
            </w:rPr>
            <w:fldChar w:fldCharType="separate"/>
          </w:r>
          <w:r>
            <w:rPr>
              <w:rFonts w:hint="default"/>
              <w:lang w:val="en-US" w:eastAsia="zh-CN"/>
            </w:rPr>
            <w:t>4. 验收标准</w:t>
          </w:r>
          <w:r>
            <w:tab/>
          </w:r>
          <w:r>
            <w:fldChar w:fldCharType="begin"/>
          </w:r>
          <w:r>
            <w:instrText xml:space="preserve"> PAGEREF _Toc27669 \h </w:instrText>
          </w:r>
          <w:r>
            <w:fldChar w:fldCharType="separate"/>
          </w:r>
          <w:r>
            <w:t>7</w:t>
          </w:r>
          <w:r>
            <w:fldChar w:fldCharType="end"/>
          </w:r>
          <w:r>
            <w:rPr>
              <w:rFonts w:hint="eastAsia" w:ascii="宋体" w:hAnsi="宋体" w:eastAsia="宋体" w:cs="宋体"/>
              <w:szCs w:val="24"/>
            </w:rPr>
            <w:fldChar w:fldCharType="end"/>
          </w:r>
        </w:p>
        <w:p w14:paraId="265D512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_Toc19703 </w:instrText>
          </w:r>
          <w:r>
            <w:rPr>
              <w:rFonts w:hint="eastAsia" w:ascii="宋体" w:hAnsi="宋体" w:eastAsia="宋体" w:cs="宋体"/>
              <w:szCs w:val="24"/>
            </w:rPr>
            <w:fldChar w:fldCharType="separate"/>
          </w:r>
          <w:r>
            <w:rPr>
              <w:rFonts w:hint="default"/>
              <w:lang w:val="en-US" w:eastAsia="zh-CN"/>
            </w:rPr>
            <w:t>5. 保障措施</w:t>
          </w:r>
          <w:r>
            <w:tab/>
          </w:r>
          <w:r>
            <w:fldChar w:fldCharType="begin"/>
          </w:r>
          <w:r>
            <w:instrText xml:space="preserve"> PAGEREF _Toc19703 \h </w:instrText>
          </w:r>
          <w:r>
            <w:fldChar w:fldCharType="separate"/>
          </w:r>
          <w:r>
            <w:t>7</w:t>
          </w:r>
          <w:r>
            <w:fldChar w:fldCharType="end"/>
          </w:r>
          <w:r>
            <w:rPr>
              <w:rFonts w:hint="eastAsia" w:ascii="宋体" w:hAnsi="宋体" w:eastAsia="宋体" w:cs="宋体"/>
              <w:szCs w:val="24"/>
            </w:rPr>
            <w:fldChar w:fldCharType="end"/>
          </w:r>
        </w:p>
        <w:p w14:paraId="722FB86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_Toc24900 </w:instrText>
          </w:r>
          <w:r>
            <w:rPr>
              <w:rFonts w:hint="eastAsia" w:ascii="宋体" w:hAnsi="宋体" w:eastAsia="宋体" w:cs="宋体"/>
              <w:szCs w:val="24"/>
            </w:rPr>
            <w:fldChar w:fldCharType="separate"/>
          </w:r>
          <w:r>
            <w:rPr>
              <w:rFonts w:hint="default"/>
              <w:lang w:val="en-US" w:eastAsia="zh-CN"/>
            </w:rPr>
            <w:t>6. 附则</w:t>
          </w:r>
          <w:r>
            <w:tab/>
          </w:r>
          <w:r>
            <w:fldChar w:fldCharType="begin"/>
          </w:r>
          <w:r>
            <w:instrText xml:space="preserve"> PAGEREF _Toc24900 \h </w:instrText>
          </w:r>
          <w:r>
            <w:fldChar w:fldCharType="separate"/>
          </w:r>
          <w:r>
            <w:t>7</w:t>
          </w:r>
          <w:r>
            <w:fldChar w:fldCharType="end"/>
          </w:r>
          <w:r>
            <w:rPr>
              <w:rFonts w:hint="eastAsia" w:ascii="宋体" w:hAnsi="宋体" w:eastAsia="宋体" w:cs="宋体"/>
              <w:szCs w:val="24"/>
            </w:rPr>
            <w:fldChar w:fldCharType="end"/>
          </w:r>
        </w:p>
        <w:p w14:paraId="3860014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095371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FB50E5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5448"/>
      <w:r>
        <w:rPr>
          <w:rFonts w:hint="default"/>
          <w:lang w:val="en-US" w:eastAsia="zh-CN"/>
        </w:rPr>
        <w:t>总则</w:t>
      </w:r>
      <w:bookmarkEnd w:id="2"/>
    </w:p>
    <w:p w14:paraId="775847F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5761"/>
      <w:r>
        <w:rPr>
          <w:rFonts w:hint="default"/>
          <w:lang w:val="en-US" w:eastAsia="zh-CN"/>
        </w:rPr>
        <w:t>方案目的</w:t>
      </w:r>
      <w:bookmarkEnd w:id="3"/>
    </w:p>
    <w:p w14:paraId="1720B1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烟台林海嵎峡田综合体智慧农业大数据平台”的决策准确性与系统可靠性，特制定本数据清洗策略方案。本方案旨在系统性地规划与设计数据清洗工作，确保源自各类物联网设备、视频监控及业务系统的多源异构数据，在汇入核心平台前具备可信、一致、及时的质量特征，从而支撑上层智慧应用实现预期价值。</w:t>
      </w:r>
    </w:p>
    <w:p w14:paraId="10CD88E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1534"/>
      <w:r>
        <w:rPr>
          <w:rFonts w:hint="default"/>
          <w:lang w:val="en-US" w:eastAsia="zh-CN"/>
        </w:rPr>
        <w:t>编制依据</w:t>
      </w:r>
      <w:bookmarkEnd w:id="4"/>
    </w:p>
    <w:p w14:paraId="7585AFD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本方案严格遵循《烟台林海嵎峡田综合体智慧农业大数据平台建设项目数据清洗策略需求分析报告》中提出的核心业务目标、质量要求与管理流程需求，是指导项目数据清洗工作实施的纲领性文件。</w:t>
      </w:r>
    </w:p>
    <w:p w14:paraId="6152CA8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1499"/>
      <w:r>
        <w:rPr>
          <w:rFonts w:hint="default"/>
          <w:lang w:val="en-US" w:eastAsia="zh-CN"/>
        </w:rPr>
        <w:t>总体目标</w:t>
      </w:r>
      <w:bookmarkEnd w:id="5"/>
    </w:p>
    <w:p w14:paraId="7B967B3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方案致力于达成三大目标：一是达成预设的数据质量关键绩效指标，满足精准农业与智能安防的业务需求；二是建立一套权责清晰、流程可控、持续改进的数据质量管理闭环；三是交付高质量的数据资产及配套的治理能力，确保项目长效运营。</w:t>
      </w:r>
    </w:p>
    <w:p w14:paraId="264BC5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3235"/>
      <w:r>
        <w:rPr>
          <w:rFonts w:hint="default"/>
          <w:lang w:val="en-US" w:eastAsia="zh-CN"/>
        </w:rPr>
        <w:t>数据清洗详细设计</w:t>
      </w:r>
      <w:bookmarkEnd w:id="6"/>
    </w:p>
    <w:p w14:paraId="5987A6C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4588"/>
      <w:r>
        <w:rPr>
          <w:rFonts w:hint="default"/>
          <w:lang w:val="en-US" w:eastAsia="zh-CN"/>
        </w:rPr>
        <w:t>分域清洗策略</w:t>
      </w:r>
      <w:bookmarkEnd w:id="7"/>
    </w:p>
    <w:p w14:paraId="065A4B4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针对项目四大数据域的特征，实施差异化清洗。</w:t>
      </w:r>
    </w:p>
    <w:p w14:paraId="2A928FD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5631"/>
      <w:r>
        <w:rPr>
          <w:rFonts w:hint="default"/>
          <w:lang w:val="en-US" w:eastAsia="zh-CN"/>
        </w:rPr>
        <w:t>视频与图像数据域</w:t>
      </w:r>
      <w:bookmarkEnd w:id="8"/>
    </w:p>
    <w:p w14:paraId="3859A25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本域数据主要来源于高清摄像机、AI布控球机等设备，核心问题在于视频流稳定性、时间同步及智能分析结果的可信度。</w:t>
      </w:r>
    </w:p>
    <w:p w14:paraId="1F57298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清洗策略包括：实施视频流健康度心跳监测，对短暂中断进行技术补偿，长期中断则即时告警；强制统一所有视频源采用平台中心时钟，消除时间戳错乱；对AI模型产出的结构化数据（如车牌、人脸）设定置信度阈值，低置信度结果自动转入人工复核流程，确保输出结果的高可靠性。</w:t>
      </w:r>
    </w:p>
    <w:p w14:paraId="7BE7C4D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7086"/>
      <w:r>
        <w:rPr>
          <w:rFonts w:hint="default"/>
          <w:lang w:val="en-US" w:eastAsia="zh-CN"/>
        </w:rPr>
        <w:t>物联网感知数据域</w:t>
      </w:r>
      <w:bookmarkEnd w:id="9"/>
    </w:p>
    <w:p w14:paraId="1261F0E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本域数据源于太阳能系统、环境传感器等，表现为连续的时序数据，易受干扰产生噪声、跳变或通信中断。</w:t>
      </w:r>
    </w:p>
    <w:p w14:paraId="0B49F5C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清洗策略包括：依据设备物理参数与农业业务常识，为各类传感器数据设定合理的数值范围阈值，自动过滤超量程的无效数据；采用滑动平均等算法对时序数据进行平滑处理，抑制随机噪声；针对数据传输中的缺失，制定分级策略，对短时缺失进行线性插值，对长时缺失明确标记并触发设备运维工单。</w:t>
      </w:r>
    </w:p>
    <w:p w14:paraId="39CE509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2923"/>
      <w:r>
        <w:rPr>
          <w:rFonts w:hint="default"/>
          <w:lang w:val="en-US" w:eastAsia="zh-CN"/>
        </w:rPr>
        <w:t>基础设施日志数据域</w:t>
      </w:r>
      <w:bookmarkEnd w:id="10"/>
    </w:p>
    <w:p w14:paraId="1D0BBD2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本域数据来自网络设备、服务器、存储阵列等，格式多样，信息粒度细，关键事件易被淹没。</w:t>
      </w:r>
    </w:p>
    <w:p w14:paraId="26C3F03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清洗策略包括：制定统一的日志解析规范，从各行日志中准确提取时间、设备标识、事件级别与关键消息等标准字段；建立规则引擎，从海量日志中实时过滤并归类错误、警告及表征性能瓶颈的关键事件，为系统健康监控提供精准输入。</w:t>
      </w:r>
    </w:p>
    <w:p w14:paraId="2A1DA48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479"/>
      <w:r>
        <w:rPr>
          <w:rFonts w:hint="default"/>
          <w:lang w:val="en-US" w:eastAsia="zh-CN"/>
        </w:rPr>
        <w:t>业务与应用数据域</w:t>
      </w:r>
      <w:bookmarkEnd w:id="11"/>
    </w:p>
    <w:p w14:paraId="5C560A2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本域数据包括平台内外部业务系统产生的数据，主要存在标准不统一、记录重复及逻辑矛盾等问题。</w:t>
      </w:r>
    </w:p>
    <w:p w14:paraId="755CB3B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清洗策略包括：开展主数据治理，对设备、地块、组织机构等核心实体定义全局唯一编码与规范属性，并在各系统间同步；在数据入库的ETL过程中，执行严格的格式转换、代码值映射、基于规则的记录去重与矛盾校验，确保数据内在一致性。</w:t>
      </w:r>
    </w:p>
    <w:p w14:paraId="487A526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6129"/>
      <w:r>
        <w:rPr>
          <w:rFonts w:hint="default"/>
          <w:lang w:val="en-US" w:eastAsia="zh-CN"/>
        </w:rPr>
        <w:t>技术架构与实施路径</w:t>
      </w:r>
      <w:bookmarkEnd w:id="12"/>
    </w:p>
    <w:p w14:paraId="52563CD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用“边缘轻量校验+平台集中治理”的混合架构。在靠近数据源的边缘侧部署轻量逻辑，进行基础完备性校验与格式规整；在平台数据中心部署Flink实时计算引擎与Spark批量处理框架，分别负责流式数据的实时清洗与历史数据的批量治理。通过Apache Airflow进行任务调度，利用Prometheus配合Grafana监控数据流水线性能与质量指标。清洗规则力求实现配置化管理，通过规则引擎或配置文件驱动，提升可维护性。</w:t>
      </w:r>
    </w:p>
    <w:p w14:paraId="4096347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6711"/>
      <w:r>
        <w:rPr>
          <w:rFonts w:hint="default"/>
          <w:lang w:val="en-US" w:eastAsia="zh-CN"/>
        </w:rPr>
        <w:t>实施与管理规划</w:t>
      </w:r>
      <w:bookmarkEnd w:id="13"/>
    </w:p>
    <w:p w14:paraId="3DF53F2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30838"/>
      <w:r>
        <w:rPr>
          <w:rFonts w:hint="default"/>
          <w:lang w:val="en-US" w:eastAsia="zh-CN"/>
        </w:rPr>
        <w:t>阶段化实施计划</w:t>
      </w:r>
      <w:bookmarkEnd w:id="14"/>
    </w:p>
    <w:p w14:paraId="57F8C93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数据清洗工作将完全融入项目90天的总建设周期，分四阶段推进。</w:t>
      </w:r>
    </w:p>
    <w:p w14:paraId="009B26F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第一阶段（第1-30天）：规则设计与开发。完成各数据域清洗规则的详细设计、评审与核心代码开发。</w:t>
      </w:r>
    </w:p>
    <w:p w14:paraId="1689D7D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第二阶段（第31-60天）：集成联调与试运行。清洗模块与硬件设备、业务系统对接联调，利用模拟或历史数据进行全流程试运行并优化。</w:t>
      </w:r>
    </w:p>
    <w:p w14:paraId="3A08969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第三阶段（第61-75天）：全量上线与监控。随系统正式上线启动全量数据清洗，并开启全天候质量监控。</w:t>
      </w:r>
    </w:p>
    <w:p w14:paraId="6E88EC9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第四阶段（第76-90天）：验收与交付。进行稳定性考核，输出最终质量报告，完成专项验收。</w:t>
      </w:r>
    </w:p>
    <w:p w14:paraId="1AF6E1E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326"/>
      <w:r>
        <w:rPr>
          <w:rFonts w:hint="default"/>
          <w:lang w:val="en-US" w:eastAsia="zh-CN"/>
        </w:rPr>
        <w:t>组织与职责分工</w:t>
      </w:r>
      <w:bookmarkEnd w:id="15"/>
    </w:p>
    <w:p w14:paraId="6FCB139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项目组业务侧负责清洗规则所涉及业务逻辑的最终评审与确认，并参与验收测试。甲方项目组技术侧负责本方案及技术交付物的评审，监督实施质量与进度。乙方作为实施方，须严格依据本方案完成设计、开发、部署、测试及运维全流程工作，并定期提交进展报告。</w:t>
      </w:r>
    </w:p>
    <w:p w14:paraId="4CB361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7391"/>
      <w:r>
        <w:rPr>
          <w:rFonts w:hint="default"/>
          <w:lang w:val="en-US" w:eastAsia="zh-CN"/>
        </w:rPr>
        <w:t>关键交付物</w:t>
      </w:r>
      <w:bookmarkEnd w:id="16"/>
    </w:p>
    <w:p w14:paraId="18841B1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方需按阶段提交以下交付物：《详细数据清洗规则设计说明书》、《数据清洗模块测试报告》、《数据质量监控平台操作手册》、《周期性数据质量分析报告》以及项目竣工时提交的《数据清洗专项竣工报告》，其中必须包含关键绩效指标达成情况的证明。</w:t>
      </w:r>
    </w:p>
    <w:p w14:paraId="5D8676C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7669"/>
      <w:r>
        <w:rPr>
          <w:rFonts w:hint="default"/>
          <w:lang w:val="en-US" w:eastAsia="zh-CN"/>
        </w:rPr>
        <w:t>验收标准</w:t>
      </w:r>
      <w:bookmarkEnd w:id="17"/>
    </w:p>
    <w:p w14:paraId="289142F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数据清洗工作的验收以可量化、可验证的关键绩效指标为核心标准。在项目最终验收前，需提供连续15天的稳定运行数据，证明以下核心指标已持续达标：</w:t>
      </w:r>
    </w:p>
    <w:p w14:paraId="19678E7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视频图像域方面，AI识别准确率不低于95%；物联网感知域方面，关键传感器数据采集率不低于99%；业务应用域方面，核心业务数据交付准时率不低于99.5%；在过程质量方面，数据清洗任务执行成功率不低于99.9%；在系统性能方面，95%的数据记录其端到端清洗延迟不超过10秒。</w:t>
      </w:r>
    </w:p>
    <w:p w14:paraId="7FDCD2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9703"/>
      <w:r>
        <w:rPr>
          <w:rFonts w:hint="default"/>
          <w:lang w:val="en-US" w:eastAsia="zh-CN"/>
        </w:rPr>
        <w:t>保障措施</w:t>
      </w:r>
      <w:bookmarkEnd w:id="18"/>
    </w:p>
    <w:p w14:paraId="116C91C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应对规则随业务变化而调整的风险，将建立严格的《数据清洗规则变更管理流程》，任何变更需经甲方业务负责人书面审批。为杜绝数据在清洗过程中失真且无法追溯，所有数据处理环节必须记录完整的数据血缘日志。为避免系统性能瓶颈，清洗平台需通过高于当前数据峰值50%的压力测试。为保证沟通顺畅，将建立双周数据质量例会制度，及时同步问题、评审报告并决策优化方向。</w:t>
      </w:r>
    </w:p>
    <w:p w14:paraId="4B0D833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4900"/>
      <w:r>
        <w:rPr>
          <w:rFonts w:hint="default"/>
          <w:lang w:val="en-US" w:eastAsia="zh-CN"/>
        </w:rPr>
        <w:t>附则</w:t>
      </w:r>
      <w:bookmarkEnd w:id="19"/>
    </w:p>
    <w:p w14:paraId="201A2A0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本方案经甲方项目指导委员会评审通过后生效，即成为本项目数据清洗工作的最高执行依据。方案所有附件与本方案正文具有同等效力。</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1AFA7">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27349C"/>
    <w:rsid w:val="01C62F2B"/>
    <w:rsid w:val="031C251B"/>
    <w:rsid w:val="05551D4C"/>
    <w:rsid w:val="058368B9"/>
    <w:rsid w:val="067F52D3"/>
    <w:rsid w:val="08944817"/>
    <w:rsid w:val="0BDE699E"/>
    <w:rsid w:val="1081433D"/>
    <w:rsid w:val="10861954"/>
    <w:rsid w:val="10C303F0"/>
    <w:rsid w:val="13AD44C3"/>
    <w:rsid w:val="146B158C"/>
    <w:rsid w:val="166D72BD"/>
    <w:rsid w:val="176F54E7"/>
    <w:rsid w:val="19766A09"/>
    <w:rsid w:val="19A22962"/>
    <w:rsid w:val="19CC03D7"/>
    <w:rsid w:val="19DB686C"/>
    <w:rsid w:val="1A116732"/>
    <w:rsid w:val="1A7C004F"/>
    <w:rsid w:val="1BBD1DCD"/>
    <w:rsid w:val="1D2A25BC"/>
    <w:rsid w:val="1E1F09F2"/>
    <w:rsid w:val="1ED335EA"/>
    <w:rsid w:val="1F5A6485"/>
    <w:rsid w:val="1F645556"/>
    <w:rsid w:val="24FD466F"/>
    <w:rsid w:val="28AB1AFF"/>
    <w:rsid w:val="294E705B"/>
    <w:rsid w:val="2AFC2AE6"/>
    <w:rsid w:val="2C38364A"/>
    <w:rsid w:val="2D241E80"/>
    <w:rsid w:val="2D5B6E4D"/>
    <w:rsid w:val="2E63395B"/>
    <w:rsid w:val="2E9F5C62"/>
    <w:rsid w:val="33A855B9"/>
    <w:rsid w:val="34E940DB"/>
    <w:rsid w:val="396673B2"/>
    <w:rsid w:val="3A59585F"/>
    <w:rsid w:val="3C074E88"/>
    <w:rsid w:val="3D115F7D"/>
    <w:rsid w:val="3D193084"/>
    <w:rsid w:val="3D404AB5"/>
    <w:rsid w:val="3F5D36FC"/>
    <w:rsid w:val="3F731171"/>
    <w:rsid w:val="3F9F1F66"/>
    <w:rsid w:val="45A81449"/>
    <w:rsid w:val="49E54A1A"/>
    <w:rsid w:val="4A7E3E3F"/>
    <w:rsid w:val="4AE31708"/>
    <w:rsid w:val="51B11685"/>
    <w:rsid w:val="56F86E76"/>
    <w:rsid w:val="57F30C49"/>
    <w:rsid w:val="588E217A"/>
    <w:rsid w:val="59EC5950"/>
    <w:rsid w:val="5C335AB8"/>
    <w:rsid w:val="5C403D31"/>
    <w:rsid w:val="5CF03BE9"/>
    <w:rsid w:val="5F4C5BA2"/>
    <w:rsid w:val="64563013"/>
    <w:rsid w:val="65426E7E"/>
    <w:rsid w:val="65876E75"/>
    <w:rsid w:val="6CDF4B2B"/>
    <w:rsid w:val="6D1014FE"/>
    <w:rsid w:val="6D1F7993"/>
    <w:rsid w:val="6E23799F"/>
    <w:rsid w:val="6EFA4214"/>
    <w:rsid w:val="6F596114"/>
    <w:rsid w:val="6FA32AFD"/>
    <w:rsid w:val="71775FF0"/>
    <w:rsid w:val="73C372CA"/>
    <w:rsid w:val="77CD4BBB"/>
    <w:rsid w:val="77FD5FAD"/>
    <w:rsid w:val="7A4B1DC7"/>
    <w:rsid w:val="7C263973"/>
    <w:rsid w:val="7C2E374F"/>
    <w:rsid w:val="7C9537CE"/>
    <w:rsid w:val="7FD44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table" w:customStyle="1" w:styleId="41">
    <w:name w:val="Table Normal"/>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2471</Words>
  <Characters>2650</Characters>
  <Lines>0</Lines>
  <Paragraphs>0</Paragraphs>
  <TotalTime>0</TotalTime>
  <ScaleCrop>false</ScaleCrop>
  <LinksUpToDate>false</LinksUpToDate>
  <CharactersWithSpaces>2729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2025-12-27T15:22:26Z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