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2CC98">
      <w:pPr>
        <w:keepNext w:val="0"/>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w:t>
      </w:r>
      <w:r>
        <w:rPr>
          <w:rFonts w:hint="eastAsia" w:ascii="宋体" w:hAnsi="宋体" w:cs="宋体"/>
          <w:b/>
          <w:bCs/>
          <w:spacing w:val="-3"/>
          <w:sz w:val="24"/>
          <w:szCs w:val="24"/>
          <w:lang w:val="en-US" w:eastAsia="zh-CN"/>
        </w:rPr>
        <w:t>10</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r>
        <w:rPr>
          <w:rFonts w:hint="eastAsia" w:ascii="宋体" w:hAnsi="宋体" w:eastAsia="宋体" w:cs="宋体"/>
          <w:b/>
          <w:bCs/>
          <w:spacing w:val="-3"/>
          <w:sz w:val="24"/>
          <w:szCs w:val="24"/>
          <w:lang w:val="en-US" w:eastAsia="zh-CN"/>
        </w:rPr>
        <w:t>-0</w:t>
      </w:r>
      <w:r>
        <w:rPr>
          <w:rFonts w:hint="eastAsia" w:ascii="宋体" w:hAnsi="宋体" w:cs="宋体"/>
          <w:b/>
          <w:bCs/>
          <w:spacing w:val="-3"/>
          <w:sz w:val="24"/>
          <w:szCs w:val="24"/>
          <w:lang w:val="en-US" w:eastAsia="zh-CN"/>
        </w:rPr>
        <w:t>3</w:t>
      </w:r>
    </w:p>
    <w:p w14:paraId="77C30696">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713C4EC9">
      <w:pPr>
        <w:pStyle w:val="25"/>
        <w:bidi w:val="0"/>
      </w:pPr>
      <w:bookmarkStart w:id="0" w:name="_Toc21372"/>
      <w:r>
        <w:rPr>
          <w:rFonts w:hint="eastAsia"/>
          <w:lang w:val="en-US" w:eastAsia="zh-CN"/>
        </w:rPr>
        <w:t>青岛瑞源工程集团有限公司</w:t>
      </w:r>
      <w:bookmarkEnd w:id="0"/>
    </w:p>
    <w:p w14:paraId="0B67E186">
      <w:pPr>
        <w:pStyle w:val="26"/>
        <w:bidi w:val="0"/>
        <w:rPr>
          <w:rFonts w:hint="default" w:eastAsia="黑体"/>
          <w:sz w:val="48"/>
          <w:szCs w:val="48"/>
          <w:lang w:val="en-US" w:eastAsia="zh-CN"/>
        </w:rPr>
      </w:pPr>
      <w:bookmarkStart w:id="1" w:name="_Toc18378"/>
      <w:r>
        <w:rPr>
          <w:rFonts w:hint="eastAsia"/>
          <w:sz w:val="48"/>
          <w:szCs w:val="48"/>
          <w:lang w:val="en-US" w:eastAsia="zh-CN"/>
        </w:rPr>
        <w:t>烟台林海嵎峡田综合体智慧农业大数据平台建设项目数据清洗策略实施方法</w:t>
      </w:r>
      <w:bookmarkEnd w:id="1"/>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7461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vAlign w:val="top"/>
          </w:tcPr>
          <w:p w14:paraId="6CE09374">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编制人:</w:t>
            </w:r>
            <w:r>
              <w:rPr>
                <w:rFonts w:hint="eastAsia" w:ascii="宋体" w:hAnsi="宋体" w:eastAsia="宋体" w:cs="宋体"/>
                <w:sz w:val="21"/>
                <w:szCs w:val="21"/>
                <w:u w:val="single"/>
                <w:lang w:val="en-US" w:eastAsia="zh-CN"/>
              </w:rPr>
              <w:t>张秀才</w:t>
            </w:r>
          </w:p>
        </w:tc>
        <w:tc>
          <w:tcPr>
            <w:tcW w:w="4261" w:type="dxa"/>
            <w:vAlign w:val="top"/>
          </w:tcPr>
          <w:p w14:paraId="211AEDD5">
            <w:pPr>
              <w:pStyle w:val="30"/>
              <w:keepNext w:val="0"/>
              <w:keepLines w:val="0"/>
              <w:pageBreakBefore w:val="0"/>
              <w:widowControl w:val="0"/>
              <w:kinsoku w:val="0"/>
              <w:wordWrap/>
              <w:overflowPunct/>
              <w:topLinePunct w:val="0"/>
              <w:autoSpaceDE w:val="0"/>
              <w:autoSpaceDN w:val="0"/>
              <w:bidi w:val="0"/>
              <w:adjustRightInd w:val="0"/>
              <w:snapToGrid w:val="0"/>
              <w:ind w:firstLine="420" w:firstLineChars="200"/>
              <w:textAlignment w:val="baseline"/>
              <w:rPr>
                <w:rFonts w:hint="default"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编制时间:</w:t>
            </w:r>
            <w:r>
              <w:rPr>
                <w:rFonts w:hint="default" w:ascii="Arial" w:hAnsi="Arial" w:eastAsia="宋体" w:cs="Arial"/>
                <w:sz w:val="21"/>
                <w:szCs w:val="21"/>
                <w:u w:val="single"/>
                <w:lang w:val="en-US" w:eastAsia="zh-CN"/>
              </w:rPr>
              <w:t>2025.01.10</w:t>
            </w:r>
          </w:p>
        </w:tc>
      </w:tr>
      <w:tr w14:paraId="39F27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vAlign w:val="top"/>
          </w:tcPr>
          <w:p w14:paraId="1B148679">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napToGrid w:val="0"/>
                <w:color w:val="000000"/>
                <w:kern w:val="0"/>
                <w:sz w:val="21"/>
                <w:szCs w:val="21"/>
                <w:vertAlign w:val="baseline"/>
                <w:lang w:val="en-US" w:eastAsia="zh-CN" w:bidi="ar-SA"/>
              </w:rPr>
            </w:pPr>
            <w:r>
              <w:rPr>
                <w:rFonts w:hint="eastAsia" w:ascii="宋体" w:hAnsi="宋体" w:eastAsia="宋体" w:cs="宋体"/>
                <w:sz w:val="21"/>
                <w:szCs w:val="21"/>
                <w:lang w:val="en-US" w:eastAsia="zh-CN"/>
              </w:rPr>
              <w:t>审核人:</w:t>
            </w:r>
            <w:r>
              <w:rPr>
                <w:rFonts w:hint="eastAsia" w:ascii="宋体" w:hAnsi="宋体" w:eastAsia="宋体" w:cs="宋体"/>
                <w:sz w:val="21"/>
                <w:szCs w:val="21"/>
                <w:u w:val="single"/>
                <w:lang w:val="en-US" w:eastAsia="zh-CN"/>
              </w:rPr>
              <w:t>宋振</w:t>
            </w:r>
          </w:p>
        </w:tc>
        <w:tc>
          <w:tcPr>
            <w:tcW w:w="4261" w:type="dxa"/>
            <w:shd w:val="clear" w:color="auto" w:fill="auto"/>
            <w:vAlign w:val="top"/>
          </w:tcPr>
          <w:p w14:paraId="4EB6BEBB">
            <w:pPr>
              <w:pStyle w:val="30"/>
              <w:keepNext w:val="0"/>
              <w:keepLines w:val="0"/>
              <w:pageBreakBefore w:val="0"/>
              <w:widowControl w:val="0"/>
              <w:kinsoku w:val="0"/>
              <w:wordWrap/>
              <w:overflowPunct/>
              <w:topLinePunct w:val="0"/>
              <w:autoSpaceDE w:val="0"/>
              <w:autoSpaceDN w:val="0"/>
              <w:bidi w:val="0"/>
              <w:adjustRightInd w:val="0"/>
              <w:snapToGrid w:val="0"/>
              <w:ind w:firstLine="420" w:firstLineChars="200"/>
              <w:textAlignment w:val="baseline"/>
              <w:rPr>
                <w:rFonts w:hint="default" w:ascii="宋体" w:hAnsi="宋体" w:eastAsia="宋体" w:cs="宋体"/>
                <w:snapToGrid w:val="0"/>
                <w:color w:val="000000"/>
                <w:kern w:val="0"/>
                <w:sz w:val="21"/>
                <w:szCs w:val="21"/>
                <w:vertAlign w:val="baseline"/>
                <w:lang w:val="en-US" w:eastAsia="zh-CN" w:bidi="ar-SA"/>
              </w:rPr>
            </w:pPr>
            <w:r>
              <w:rPr>
                <w:rFonts w:hint="eastAsia" w:ascii="宋体" w:hAnsi="宋体" w:eastAsia="宋体" w:cs="宋体"/>
                <w:sz w:val="21"/>
                <w:szCs w:val="21"/>
                <w:lang w:val="en-US" w:eastAsia="zh-CN"/>
              </w:rPr>
              <w:t>编制时间:</w:t>
            </w:r>
            <w:r>
              <w:rPr>
                <w:rFonts w:hint="default" w:ascii="Arial" w:hAnsi="Arial" w:eastAsia="宋体" w:cs="Arial"/>
                <w:sz w:val="21"/>
                <w:szCs w:val="21"/>
                <w:u w:val="single"/>
                <w:lang w:val="en-US" w:eastAsia="zh-CN"/>
              </w:rPr>
              <w:t>2025.01.10</w:t>
            </w:r>
          </w:p>
        </w:tc>
      </w:tr>
      <w:tr w14:paraId="7503D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vAlign w:val="top"/>
          </w:tcPr>
          <w:p w14:paraId="45FD4534">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批准人:</w:t>
            </w:r>
            <w:r>
              <w:rPr>
                <w:rFonts w:hint="eastAsia" w:ascii="宋体" w:hAnsi="宋体" w:eastAsia="宋体" w:cs="宋体"/>
                <w:sz w:val="21"/>
                <w:szCs w:val="21"/>
                <w:u w:val="single"/>
                <w:lang w:val="en-US" w:eastAsia="zh-CN"/>
              </w:rPr>
              <w:t>于瑞建</w:t>
            </w:r>
          </w:p>
        </w:tc>
        <w:tc>
          <w:tcPr>
            <w:tcW w:w="4261" w:type="dxa"/>
            <w:vAlign w:val="top"/>
          </w:tcPr>
          <w:p w14:paraId="6BEDF1CD">
            <w:pPr>
              <w:pStyle w:val="30"/>
              <w:keepNext w:val="0"/>
              <w:keepLines w:val="0"/>
              <w:pageBreakBefore w:val="0"/>
              <w:widowControl w:val="0"/>
              <w:kinsoku w:val="0"/>
              <w:wordWrap/>
              <w:overflowPunct/>
              <w:topLinePunct w:val="0"/>
              <w:autoSpaceDE w:val="0"/>
              <w:autoSpaceDN w:val="0"/>
              <w:bidi w:val="0"/>
              <w:adjustRightInd w:val="0"/>
              <w:snapToGrid w:val="0"/>
              <w:ind w:firstLine="420" w:firstLineChars="200"/>
              <w:textAlignment w:val="baseline"/>
              <w:rPr>
                <w:rFonts w:hint="default"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审批时间:</w:t>
            </w:r>
            <w:r>
              <w:rPr>
                <w:rFonts w:hint="default" w:ascii="Arial" w:hAnsi="Arial" w:eastAsia="宋体" w:cs="Arial"/>
                <w:sz w:val="21"/>
                <w:szCs w:val="21"/>
                <w:u w:val="single"/>
                <w:lang w:val="en-US" w:eastAsia="zh-CN"/>
              </w:rPr>
              <w:t>2025.01.10</w:t>
            </w:r>
          </w:p>
        </w:tc>
      </w:tr>
    </w:tbl>
    <w:p w14:paraId="47BC4BB0">
      <w:pPr>
        <w:pStyle w:val="30"/>
        <w:bidi w:val="0"/>
      </w:pPr>
      <w:r>
        <w:br w:type="page"/>
      </w:r>
    </w:p>
    <w:p w14:paraId="32A15E00">
      <w:pPr>
        <w:keepNext w:val="0"/>
        <w:keepLines w:val="0"/>
        <w:pageBreakBefore w:val="0"/>
        <w:widowControl w:val="0"/>
        <w:wordWrap/>
        <w:overflowPunct/>
        <w:topLinePunct w:val="0"/>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5E8808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vAlign w:val="top"/>
          </w:tcPr>
          <w:p w14:paraId="224256A6">
            <w:pPr>
              <w:keepNext w:val="0"/>
              <w:keepLines w:val="0"/>
              <w:pageBreakBefore w:val="0"/>
              <w:widowControl w:val="0"/>
              <w:wordWrap/>
              <w:overflowPunct/>
              <w:topLinePunct w:val="0"/>
              <w:bidi w:val="0"/>
              <w:spacing w:before="176" w:line="228" w:lineRule="auto"/>
              <w:ind w:left="607" w:leftChars="0"/>
              <w:rPr>
                <w:rFonts w:hint="eastAsia" w:ascii="宋体" w:hAnsi="宋体" w:eastAsia="宋体" w:cs="宋体"/>
                <w:sz w:val="20"/>
                <w:szCs w:val="20"/>
              </w:rPr>
            </w:pPr>
            <w:r>
              <w:rPr>
                <w:rFonts w:ascii="宋体" w:hAnsi="宋体" w:eastAsia="宋体" w:cs="宋体"/>
                <w:spacing w:val="-14"/>
                <w:sz w:val="20"/>
                <w:szCs w:val="20"/>
              </w:rPr>
              <w:t>日期</w:t>
            </w:r>
          </w:p>
        </w:tc>
        <w:tc>
          <w:tcPr>
            <w:tcW w:w="919" w:type="dxa"/>
            <w:vAlign w:val="top"/>
          </w:tcPr>
          <w:p w14:paraId="3DB8BCFB">
            <w:pPr>
              <w:keepNext w:val="0"/>
              <w:keepLines w:val="0"/>
              <w:pageBreakBefore w:val="0"/>
              <w:widowControl w:val="0"/>
              <w:wordWrap/>
              <w:overflowPunct/>
              <w:topLinePunct w:val="0"/>
              <w:bidi w:val="0"/>
              <w:spacing w:before="175" w:line="227" w:lineRule="auto"/>
              <w:ind w:left="253" w:leftChars="0"/>
              <w:rPr>
                <w:rFonts w:hint="eastAsia" w:ascii="宋体" w:hAnsi="宋体" w:eastAsia="宋体" w:cs="宋体"/>
                <w:sz w:val="20"/>
                <w:szCs w:val="20"/>
              </w:rPr>
            </w:pPr>
            <w:r>
              <w:rPr>
                <w:rFonts w:ascii="宋体" w:hAnsi="宋体" w:eastAsia="宋体" w:cs="宋体"/>
                <w:spacing w:val="4"/>
                <w:sz w:val="20"/>
                <w:szCs w:val="20"/>
              </w:rPr>
              <w:t>版本</w:t>
            </w:r>
          </w:p>
        </w:tc>
        <w:tc>
          <w:tcPr>
            <w:tcW w:w="2289" w:type="dxa"/>
            <w:vAlign w:val="top"/>
          </w:tcPr>
          <w:p w14:paraId="38A6E24B">
            <w:pPr>
              <w:keepNext w:val="0"/>
              <w:keepLines w:val="0"/>
              <w:pageBreakBefore w:val="0"/>
              <w:widowControl w:val="0"/>
              <w:wordWrap/>
              <w:overflowPunct/>
              <w:topLinePunct w:val="0"/>
              <w:bidi w:val="0"/>
              <w:spacing w:before="175" w:line="228" w:lineRule="auto"/>
              <w:ind w:left="730" w:leftChars="0"/>
              <w:rPr>
                <w:rFonts w:hint="eastAsia" w:ascii="宋体" w:hAnsi="宋体" w:eastAsia="宋体" w:cs="宋体"/>
                <w:sz w:val="20"/>
                <w:szCs w:val="20"/>
              </w:rPr>
            </w:pPr>
            <w:r>
              <w:rPr>
                <w:rFonts w:ascii="宋体" w:hAnsi="宋体" w:eastAsia="宋体" w:cs="宋体"/>
                <w:spacing w:val="7"/>
                <w:sz w:val="20"/>
                <w:szCs w:val="20"/>
              </w:rPr>
              <w:t>变更说明</w:t>
            </w:r>
          </w:p>
        </w:tc>
        <w:tc>
          <w:tcPr>
            <w:tcW w:w="1148" w:type="dxa"/>
            <w:vAlign w:val="top"/>
          </w:tcPr>
          <w:p w14:paraId="340D4E5A">
            <w:pPr>
              <w:keepNext w:val="0"/>
              <w:keepLines w:val="0"/>
              <w:pageBreakBefore w:val="0"/>
              <w:widowControl w:val="0"/>
              <w:wordWrap/>
              <w:overflowPunct/>
              <w:topLinePunct w:val="0"/>
              <w:bidi w:val="0"/>
              <w:spacing w:before="175" w:line="228" w:lineRule="auto"/>
              <w:ind w:left="310" w:leftChars="0"/>
              <w:rPr>
                <w:rFonts w:hint="eastAsia" w:ascii="宋体" w:hAnsi="宋体" w:eastAsia="宋体" w:cs="宋体"/>
                <w:sz w:val="20"/>
                <w:szCs w:val="20"/>
              </w:rPr>
            </w:pPr>
            <w:r>
              <w:rPr>
                <w:rFonts w:ascii="宋体" w:hAnsi="宋体" w:eastAsia="宋体" w:cs="宋体"/>
                <w:spacing w:val="6"/>
                <w:sz w:val="20"/>
                <w:szCs w:val="20"/>
              </w:rPr>
              <w:t>编写人</w:t>
            </w:r>
          </w:p>
        </w:tc>
        <w:tc>
          <w:tcPr>
            <w:tcW w:w="1150" w:type="dxa"/>
            <w:vAlign w:val="top"/>
          </w:tcPr>
          <w:p w14:paraId="6DF2BA31">
            <w:pPr>
              <w:keepNext w:val="0"/>
              <w:keepLines w:val="0"/>
              <w:pageBreakBefore w:val="0"/>
              <w:widowControl w:val="0"/>
              <w:wordWrap/>
              <w:overflowPunct/>
              <w:topLinePunct w:val="0"/>
              <w:bidi w:val="0"/>
              <w:spacing w:before="175" w:line="228" w:lineRule="auto"/>
              <w:ind w:left="310" w:leftChars="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vAlign w:val="top"/>
          </w:tcPr>
          <w:p w14:paraId="2B2F8CAB">
            <w:pPr>
              <w:keepNext w:val="0"/>
              <w:keepLines w:val="0"/>
              <w:pageBreakBefore w:val="0"/>
              <w:widowControl w:val="0"/>
              <w:wordWrap/>
              <w:overflowPunct/>
              <w:topLinePunct w:val="0"/>
              <w:bidi w:val="0"/>
              <w:spacing w:before="176" w:line="229" w:lineRule="auto"/>
              <w:ind w:left="311" w:leftChars="0"/>
              <w:rPr>
                <w:rFonts w:hint="eastAsia" w:ascii="宋体" w:hAnsi="宋体" w:eastAsia="宋体" w:cs="宋体"/>
                <w:sz w:val="20"/>
                <w:szCs w:val="20"/>
              </w:rPr>
            </w:pPr>
            <w:r>
              <w:rPr>
                <w:rFonts w:ascii="宋体" w:hAnsi="宋体" w:eastAsia="宋体" w:cs="宋体"/>
                <w:spacing w:val="7"/>
                <w:sz w:val="20"/>
                <w:szCs w:val="20"/>
              </w:rPr>
              <w:t>批准人</w:t>
            </w:r>
          </w:p>
        </w:tc>
      </w:tr>
      <w:tr w14:paraId="4F3AE8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vAlign w:val="top"/>
          </w:tcPr>
          <w:p w14:paraId="3BE38528">
            <w:pPr>
              <w:keepNext w:val="0"/>
              <w:keepLines w:val="0"/>
              <w:pageBreakBefore w:val="0"/>
              <w:widowControl w:val="0"/>
              <w:wordWrap/>
              <w:overflowPunct/>
              <w:topLinePunct w:val="0"/>
              <w:bidi w:val="0"/>
              <w:spacing w:before="173" w:line="267" w:lineRule="exact"/>
              <w:ind w:left="260" w:leftChars="0"/>
              <w:rPr>
                <w:rFonts w:hint="default" w:ascii="宋体" w:hAnsi="宋体" w:eastAsia="宋体" w:cs="宋体"/>
                <w:sz w:val="20"/>
                <w:szCs w:val="20"/>
                <w:lang w:val="en-US" w:eastAsia="zh-CN"/>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w:t>
            </w:r>
            <w:r>
              <w:rPr>
                <w:rFonts w:hint="eastAsia" w:ascii="宋体" w:hAnsi="宋体" w:eastAsia="宋体" w:cs="宋体"/>
                <w:spacing w:val="3"/>
                <w:position w:val="1"/>
                <w:sz w:val="20"/>
                <w:szCs w:val="20"/>
                <w:lang w:val="en-US" w:eastAsia="zh-CN"/>
              </w:rPr>
              <w:t>0</w:t>
            </w:r>
          </w:p>
        </w:tc>
        <w:tc>
          <w:tcPr>
            <w:tcW w:w="919" w:type="dxa"/>
            <w:vAlign w:val="top"/>
          </w:tcPr>
          <w:p w14:paraId="6848C7F4">
            <w:pPr>
              <w:keepNext w:val="0"/>
              <w:keepLines w:val="0"/>
              <w:pageBreakBefore w:val="0"/>
              <w:widowControl w:val="0"/>
              <w:wordWrap/>
              <w:overflowPunct/>
              <w:topLinePunct w:val="0"/>
              <w:bidi w:val="0"/>
              <w:spacing w:before="173" w:line="267" w:lineRule="exact"/>
              <w:ind w:left="248" w:leftChars="0"/>
              <w:rPr>
                <w:rFonts w:hint="eastAsia" w:ascii="宋体" w:hAnsi="宋体" w:eastAsia="宋体" w:cs="宋体"/>
                <w:sz w:val="20"/>
                <w:szCs w:val="20"/>
              </w:rPr>
            </w:pPr>
            <w:r>
              <w:rPr>
                <w:rFonts w:ascii="宋体" w:hAnsi="宋体" w:eastAsia="宋体" w:cs="宋体"/>
                <w:spacing w:val="4"/>
                <w:position w:val="1"/>
                <w:sz w:val="20"/>
                <w:szCs w:val="20"/>
              </w:rPr>
              <w:t>V1.0</w:t>
            </w:r>
          </w:p>
        </w:tc>
        <w:tc>
          <w:tcPr>
            <w:tcW w:w="2289" w:type="dxa"/>
            <w:vAlign w:val="top"/>
          </w:tcPr>
          <w:p w14:paraId="3D028502">
            <w:pPr>
              <w:keepNext w:val="0"/>
              <w:keepLines w:val="0"/>
              <w:pageBreakBefore w:val="0"/>
              <w:widowControl w:val="0"/>
              <w:wordWrap/>
              <w:overflowPunct/>
              <w:topLinePunct w:val="0"/>
              <w:bidi w:val="0"/>
              <w:spacing w:before="172" w:line="228" w:lineRule="auto"/>
              <w:ind w:left="114" w:leftChars="0"/>
              <w:jc w:val="center"/>
              <w:rPr>
                <w:rFonts w:hint="eastAsia" w:ascii="宋体" w:hAnsi="宋体" w:eastAsia="宋体" w:cs="宋体"/>
                <w:sz w:val="20"/>
                <w:szCs w:val="20"/>
              </w:rPr>
            </w:pPr>
            <w:r>
              <w:rPr>
                <w:rFonts w:ascii="宋体" w:hAnsi="宋体" w:eastAsia="宋体" w:cs="宋体"/>
                <w:spacing w:val="7"/>
                <w:sz w:val="20"/>
                <w:szCs w:val="20"/>
              </w:rPr>
              <w:t>新建文档</w:t>
            </w:r>
          </w:p>
        </w:tc>
        <w:tc>
          <w:tcPr>
            <w:tcW w:w="1148" w:type="dxa"/>
            <w:vAlign w:val="top"/>
          </w:tcPr>
          <w:p w14:paraId="502B36EB">
            <w:pPr>
              <w:keepNext w:val="0"/>
              <w:keepLines w:val="0"/>
              <w:pageBreakBefore w:val="0"/>
              <w:widowControl w:val="0"/>
              <w:wordWrap/>
              <w:overflowPunct/>
              <w:topLinePunct w:val="0"/>
              <w:bidi w:val="0"/>
              <w:spacing w:before="172" w:line="228" w:lineRule="auto"/>
              <w:ind w:left="313" w:leftChars="0"/>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张秀才</w:t>
            </w:r>
          </w:p>
        </w:tc>
        <w:tc>
          <w:tcPr>
            <w:tcW w:w="1150" w:type="dxa"/>
            <w:vAlign w:val="top"/>
          </w:tcPr>
          <w:p w14:paraId="12CA7A9B">
            <w:pPr>
              <w:keepNext w:val="0"/>
              <w:keepLines w:val="0"/>
              <w:pageBreakBefore w:val="0"/>
              <w:widowControl w:val="0"/>
              <w:wordWrap/>
              <w:overflowPunct/>
              <w:topLinePunct w:val="0"/>
              <w:bidi w:val="0"/>
              <w:spacing w:before="172" w:line="228" w:lineRule="auto"/>
              <w:ind w:left="313" w:leftChars="0"/>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66001429"/>
                <w:lang w:val="en-US" w:eastAsia="zh-CN"/>
              </w:rPr>
              <w:t>宋</w:t>
            </w:r>
            <w:r>
              <w:rPr>
                <w:rFonts w:hint="eastAsia" w:ascii="宋体" w:hAnsi="宋体" w:eastAsia="宋体" w:cs="宋体"/>
                <w:spacing w:val="0"/>
                <w:kern w:val="0"/>
                <w:sz w:val="20"/>
                <w:szCs w:val="20"/>
                <w:fitText w:val="600" w:id="66001429"/>
                <w:lang w:val="en-US" w:eastAsia="zh-CN"/>
              </w:rPr>
              <w:t>振</w:t>
            </w:r>
          </w:p>
        </w:tc>
        <w:tc>
          <w:tcPr>
            <w:tcW w:w="1240" w:type="dxa"/>
            <w:vAlign w:val="top"/>
          </w:tcPr>
          <w:p w14:paraId="32D9F5D2">
            <w:pPr>
              <w:keepNext w:val="0"/>
              <w:keepLines w:val="0"/>
              <w:pageBreakBefore w:val="0"/>
              <w:widowControl w:val="0"/>
              <w:wordWrap/>
              <w:overflowPunct/>
              <w:topLinePunct w:val="0"/>
              <w:bidi w:val="0"/>
              <w:spacing w:before="173" w:line="229" w:lineRule="auto"/>
              <w:ind w:left="314" w:leftChars="0"/>
              <w:rPr>
                <w:rFonts w:hint="eastAsia"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663A2D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4BB8C4C">
            <w:pPr>
              <w:pStyle w:val="28"/>
            </w:pPr>
          </w:p>
        </w:tc>
        <w:tc>
          <w:tcPr>
            <w:tcW w:w="919" w:type="dxa"/>
          </w:tcPr>
          <w:p w14:paraId="6F2482DF">
            <w:pPr>
              <w:pStyle w:val="28"/>
            </w:pPr>
          </w:p>
        </w:tc>
        <w:tc>
          <w:tcPr>
            <w:tcW w:w="2289" w:type="dxa"/>
          </w:tcPr>
          <w:p w14:paraId="244404B4">
            <w:pPr>
              <w:pStyle w:val="28"/>
            </w:pPr>
          </w:p>
        </w:tc>
        <w:tc>
          <w:tcPr>
            <w:tcW w:w="1148" w:type="dxa"/>
          </w:tcPr>
          <w:p w14:paraId="2768AAAE">
            <w:pPr>
              <w:spacing w:before="172" w:line="228" w:lineRule="auto"/>
              <w:ind w:left="313"/>
            </w:pPr>
          </w:p>
        </w:tc>
        <w:tc>
          <w:tcPr>
            <w:tcW w:w="1150" w:type="dxa"/>
          </w:tcPr>
          <w:p w14:paraId="4CE3D63C">
            <w:pPr>
              <w:spacing w:before="172" w:line="228" w:lineRule="auto"/>
              <w:ind w:left="313"/>
            </w:pPr>
          </w:p>
        </w:tc>
        <w:tc>
          <w:tcPr>
            <w:tcW w:w="1240" w:type="dxa"/>
          </w:tcPr>
          <w:p w14:paraId="7E1FC4F2">
            <w:pPr>
              <w:pStyle w:val="28"/>
            </w:pPr>
          </w:p>
        </w:tc>
      </w:tr>
      <w:tr w14:paraId="0B0B07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A258E97">
            <w:pPr>
              <w:pStyle w:val="28"/>
            </w:pPr>
          </w:p>
        </w:tc>
        <w:tc>
          <w:tcPr>
            <w:tcW w:w="919" w:type="dxa"/>
          </w:tcPr>
          <w:p w14:paraId="50893338">
            <w:pPr>
              <w:pStyle w:val="28"/>
            </w:pPr>
          </w:p>
        </w:tc>
        <w:tc>
          <w:tcPr>
            <w:tcW w:w="2289" w:type="dxa"/>
          </w:tcPr>
          <w:p w14:paraId="11C2762E">
            <w:pPr>
              <w:pStyle w:val="28"/>
            </w:pPr>
          </w:p>
        </w:tc>
        <w:tc>
          <w:tcPr>
            <w:tcW w:w="1148" w:type="dxa"/>
          </w:tcPr>
          <w:p w14:paraId="7FEECA1A">
            <w:pPr>
              <w:spacing w:before="173" w:line="229" w:lineRule="auto"/>
              <w:ind w:left="314"/>
            </w:pPr>
          </w:p>
        </w:tc>
        <w:tc>
          <w:tcPr>
            <w:tcW w:w="1150" w:type="dxa"/>
          </w:tcPr>
          <w:p w14:paraId="00FE9E5E">
            <w:pPr>
              <w:spacing w:before="173" w:line="229" w:lineRule="auto"/>
              <w:ind w:left="314"/>
            </w:pPr>
          </w:p>
        </w:tc>
        <w:tc>
          <w:tcPr>
            <w:tcW w:w="1240" w:type="dxa"/>
          </w:tcPr>
          <w:p w14:paraId="0CD3CD4A">
            <w:pPr>
              <w:pStyle w:val="28"/>
            </w:pPr>
          </w:p>
        </w:tc>
      </w:tr>
      <w:tr w14:paraId="121431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1658BCB6">
            <w:pPr>
              <w:pStyle w:val="28"/>
            </w:pPr>
          </w:p>
        </w:tc>
        <w:tc>
          <w:tcPr>
            <w:tcW w:w="919" w:type="dxa"/>
          </w:tcPr>
          <w:p w14:paraId="4E288D8D">
            <w:pPr>
              <w:pStyle w:val="28"/>
            </w:pPr>
          </w:p>
        </w:tc>
        <w:tc>
          <w:tcPr>
            <w:tcW w:w="2289" w:type="dxa"/>
          </w:tcPr>
          <w:p w14:paraId="492341D9">
            <w:pPr>
              <w:pStyle w:val="28"/>
            </w:pPr>
          </w:p>
        </w:tc>
        <w:tc>
          <w:tcPr>
            <w:tcW w:w="1148" w:type="dxa"/>
          </w:tcPr>
          <w:p w14:paraId="0352853C">
            <w:pPr>
              <w:pStyle w:val="28"/>
            </w:pPr>
          </w:p>
        </w:tc>
        <w:tc>
          <w:tcPr>
            <w:tcW w:w="1150" w:type="dxa"/>
          </w:tcPr>
          <w:p w14:paraId="57A4D19D">
            <w:pPr>
              <w:pStyle w:val="28"/>
            </w:pPr>
          </w:p>
        </w:tc>
        <w:tc>
          <w:tcPr>
            <w:tcW w:w="1240" w:type="dxa"/>
          </w:tcPr>
          <w:p w14:paraId="4877BF57">
            <w:pPr>
              <w:pStyle w:val="28"/>
            </w:pPr>
          </w:p>
        </w:tc>
      </w:tr>
      <w:tr w14:paraId="5D72EF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29A9889">
            <w:pPr>
              <w:pStyle w:val="28"/>
            </w:pPr>
          </w:p>
        </w:tc>
        <w:tc>
          <w:tcPr>
            <w:tcW w:w="919" w:type="dxa"/>
          </w:tcPr>
          <w:p w14:paraId="4F99EEEF">
            <w:pPr>
              <w:pStyle w:val="28"/>
            </w:pPr>
          </w:p>
        </w:tc>
        <w:tc>
          <w:tcPr>
            <w:tcW w:w="2289" w:type="dxa"/>
          </w:tcPr>
          <w:p w14:paraId="64DD9FA7">
            <w:pPr>
              <w:pStyle w:val="28"/>
            </w:pPr>
          </w:p>
        </w:tc>
        <w:tc>
          <w:tcPr>
            <w:tcW w:w="1148" w:type="dxa"/>
          </w:tcPr>
          <w:p w14:paraId="585F47D5">
            <w:pPr>
              <w:pStyle w:val="28"/>
            </w:pPr>
          </w:p>
        </w:tc>
        <w:tc>
          <w:tcPr>
            <w:tcW w:w="1150" w:type="dxa"/>
          </w:tcPr>
          <w:p w14:paraId="18C0FFBC">
            <w:pPr>
              <w:pStyle w:val="28"/>
            </w:pPr>
          </w:p>
        </w:tc>
        <w:tc>
          <w:tcPr>
            <w:tcW w:w="1240" w:type="dxa"/>
          </w:tcPr>
          <w:p w14:paraId="447B29D4">
            <w:pPr>
              <w:pStyle w:val="28"/>
            </w:pPr>
          </w:p>
        </w:tc>
      </w:tr>
      <w:tr w14:paraId="500A24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4113E8AF">
            <w:pPr>
              <w:pStyle w:val="28"/>
            </w:pPr>
          </w:p>
        </w:tc>
        <w:tc>
          <w:tcPr>
            <w:tcW w:w="919" w:type="dxa"/>
          </w:tcPr>
          <w:p w14:paraId="07BDA60F">
            <w:pPr>
              <w:pStyle w:val="28"/>
            </w:pPr>
          </w:p>
        </w:tc>
        <w:tc>
          <w:tcPr>
            <w:tcW w:w="2289" w:type="dxa"/>
          </w:tcPr>
          <w:p w14:paraId="187036B9">
            <w:pPr>
              <w:pStyle w:val="28"/>
            </w:pPr>
          </w:p>
        </w:tc>
        <w:tc>
          <w:tcPr>
            <w:tcW w:w="1148" w:type="dxa"/>
          </w:tcPr>
          <w:p w14:paraId="3F055DAF">
            <w:pPr>
              <w:pStyle w:val="28"/>
            </w:pPr>
          </w:p>
        </w:tc>
        <w:tc>
          <w:tcPr>
            <w:tcW w:w="1150" w:type="dxa"/>
          </w:tcPr>
          <w:p w14:paraId="6A7422FF">
            <w:pPr>
              <w:pStyle w:val="28"/>
            </w:pPr>
          </w:p>
        </w:tc>
        <w:tc>
          <w:tcPr>
            <w:tcW w:w="1240" w:type="dxa"/>
          </w:tcPr>
          <w:p w14:paraId="7693E887">
            <w:pPr>
              <w:pStyle w:val="28"/>
            </w:pPr>
          </w:p>
        </w:tc>
      </w:tr>
    </w:tbl>
    <w:p w14:paraId="2BFB8F84">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841FD3C">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543B44D2">
          <w:pPr>
            <w:pStyle w:val="16"/>
            <w:tabs>
              <w:tab w:val="right" w:leader="dot" w:pos="8306"/>
            </w:tabs>
          </w:pPr>
          <w:bookmarkStart w:id="21" w:name="_GoBack"/>
          <w:bookmarkEnd w:id="21"/>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_Toc21372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_Toc21372 \h </w:instrText>
          </w:r>
          <w:r>
            <w:fldChar w:fldCharType="separate"/>
          </w:r>
          <w:r>
            <w:t>1</w:t>
          </w:r>
          <w:r>
            <w:fldChar w:fldCharType="end"/>
          </w:r>
          <w:r>
            <w:rPr>
              <w:rFonts w:hint="eastAsia" w:ascii="宋体" w:hAnsi="宋体" w:eastAsia="宋体" w:cs="宋体"/>
              <w:szCs w:val="24"/>
            </w:rPr>
            <w:fldChar w:fldCharType="end"/>
          </w:r>
        </w:p>
        <w:p w14:paraId="04008E4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_Toc18378 </w:instrText>
          </w:r>
          <w:r>
            <w:rPr>
              <w:rFonts w:hint="eastAsia" w:ascii="宋体" w:hAnsi="宋体" w:eastAsia="宋体" w:cs="宋体"/>
              <w:szCs w:val="24"/>
            </w:rPr>
            <w:fldChar w:fldCharType="separate"/>
          </w:r>
          <w:r>
            <w:rPr>
              <w:rFonts w:hint="eastAsia"/>
              <w:szCs w:val="48"/>
              <w:lang w:val="en-US" w:eastAsia="zh-CN"/>
            </w:rPr>
            <w:t>烟台林海嵎峡田综合体智慧农业大数据平台建设项目数据清洗策略实施方法</w:t>
          </w:r>
          <w:r>
            <w:tab/>
          </w:r>
          <w:r>
            <w:fldChar w:fldCharType="begin"/>
          </w:r>
          <w:r>
            <w:instrText xml:space="preserve"> PAGEREF _Toc18378 \h </w:instrText>
          </w:r>
          <w:r>
            <w:fldChar w:fldCharType="separate"/>
          </w:r>
          <w:r>
            <w:t>1</w:t>
          </w:r>
          <w:r>
            <w:fldChar w:fldCharType="end"/>
          </w:r>
          <w:r>
            <w:rPr>
              <w:rFonts w:hint="eastAsia" w:ascii="宋体" w:hAnsi="宋体" w:eastAsia="宋体" w:cs="宋体"/>
              <w:szCs w:val="24"/>
            </w:rPr>
            <w:fldChar w:fldCharType="end"/>
          </w:r>
        </w:p>
        <w:p w14:paraId="3BED411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_Toc8784 </w:instrText>
          </w:r>
          <w:r>
            <w:rPr>
              <w:rFonts w:hint="eastAsia" w:ascii="宋体" w:hAnsi="宋体" w:eastAsia="宋体" w:cs="宋体"/>
              <w:szCs w:val="24"/>
            </w:rPr>
            <w:fldChar w:fldCharType="separate"/>
          </w:r>
          <w:r>
            <w:rPr>
              <w:rFonts w:hint="default"/>
              <w:lang w:val="en-US" w:eastAsia="zh-CN"/>
            </w:rPr>
            <w:t>1. 文档概述</w:t>
          </w:r>
          <w:r>
            <w:tab/>
          </w:r>
          <w:r>
            <w:fldChar w:fldCharType="begin"/>
          </w:r>
          <w:r>
            <w:instrText xml:space="preserve"> PAGEREF _Toc8784 \h </w:instrText>
          </w:r>
          <w:r>
            <w:fldChar w:fldCharType="separate"/>
          </w:r>
          <w:r>
            <w:t>4</w:t>
          </w:r>
          <w:r>
            <w:fldChar w:fldCharType="end"/>
          </w:r>
          <w:r>
            <w:rPr>
              <w:rFonts w:hint="eastAsia" w:ascii="宋体" w:hAnsi="宋体" w:eastAsia="宋体" w:cs="宋体"/>
              <w:szCs w:val="24"/>
            </w:rPr>
            <w:fldChar w:fldCharType="end"/>
          </w:r>
        </w:p>
        <w:p w14:paraId="612CFDC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_Toc20762 </w:instrText>
          </w:r>
          <w:r>
            <w:rPr>
              <w:rFonts w:hint="eastAsia" w:ascii="宋体" w:hAnsi="宋体" w:eastAsia="宋体" w:cs="宋体"/>
              <w:szCs w:val="24"/>
            </w:rPr>
            <w:fldChar w:fldCharType="separate"/>
          </w:r>
          <w:r>
            <w:rPr>
              <w:rFonts w:hint="default"/>
              <w:lang w:val="en-US" w:eastAsia="zh-CN"/>
            </w:rPr>
            <w:t>1.1. 目的</w:t>
          </w:r>
          <w:r>
            <w:tab/>
          </w:r>
          <w:r>
            <w:fldChar w:fldCharType="begin"/>
          </w:r>
          <w:r>
            <w:instrText xml:space="preserve"> PAGEREF _Toc20762 \h </w:instrText>
          </w:r>
          <w:r>
            <w:fldChar w:fldCharType="separate"/>
          </w:r>
          <w:r>
            <w:t>4</w:t>
          </w:r>
          <w:r>
            <w:fldChar w:fldCharType="end"/>
          </w:r>
          <w:r>
            <w:rPr>
              <w:rFonts w:hint="eastAsia" w:ascii="宋体" w:hAnsi="宋体" w:eastAsia="宋体" w:cs="宋体"/>
              <w:szCs w:val="24"/>
            </w:rPr>
            <w:fldChar w:fldCharType="end"/>
          </w:r>
        </w:p>
        <w:p w14:paraId="3691A67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_Toc7066 </w:instrText>
          </w:r>
          <w:r>
            <w:rPr>
              <w:rFonts w:hint="eastAsia" w:ascii="宋体" w:hAnsi="宋体" w:eastAsia="宋体" w:cs="宋体"/>
              <w:szCs w:val="24"/>
            </w:rPr>
            <w:fldChar w:fldCharType="separate"/>
          </w:r>
          <w:r>
            <w:rPr>
              <w:rFonts w:hint="default"/>
              <w:lang w:val="en-US" w:eastAsia="zh-CN"/>
            </w:rPr>
            <w:t>1.2. 适用范围</w:t>
          </w:r>
          <w:r>
            <w:tab/>
          </w:r>
          <w:r>
            <w:fldChar w:fldCharType="begin"/>
          </w:r>
          <w:r>
            <w:instrText xml:space="preserve"> PAGEREF _Toc7066 \h </w:instrText>
          </w:r>
          <w:r>
            <w:fldChar w:fldCharType="separate"/>
          </w:r>
          <w:r>
            <w:t>4</w:t>
          </w:r>
          <w:r>
            <w:fldChar w:fldCharType="end"/>
          </w:r>
          <w:r>
            <w:rPr>
              <w:rFonts w:hint="eastAsia" w:ascii="宋体" w:hAnsi="宋体" w:eastAsia="宋体" w:cs="宋体"/>
              <w:szCs w:val="24"/>
            </w:rPr>
            <w:fldChar w:fldCharType="end"/>
          </w:r>
        </w:p>
        <w:p w14:paraId="685D99E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_Toc16819 </w:instrText>
          </w:r>
          <w:r>
            <w:rPr>
              <w:rFonts w:hint="eastAsia" w:ascii="宋体" w:hAnsi="宋体" w:eastAsia="宋体" w:cs="宋体"/>
              <w:szCs w:val="24"/>
            </w:rPr>
            <w:fldChar w:fldCharType="separate"/>
          </w:r>
          <w:r>
            <w:rPr>
              <w:rFonts w:hint="default"/>
              <w:lang w:val="en-US" w:eastAsia="zh-CN"/>
            </w:rPr>
            <w:t>1.3. 术语定义</w:t>
          </w:r>
          <w:r>
            <w:tab/>
          </w:r>
          <w:r>
            <w:fldChar w:fldCharType="begin"/>
          </w:r>
          <w:r>
            <w:instrText xml:space="preserve"> PAGEREF _Toc16819 \h </w:instrText>
          </w:r>
          <w:r>
            <w:fldChar w:fldCharType="separate"/>
          </w:r>
          <w:r>
            <w:t>4</w:t>
          </w:r>
          <w:r>
            <w:fldChar w:fldCharType="end"/>
          </w:r>
          <w:r>
            <w:rPr>
              <w:rFonts w:hint="eastAsia" w:ascii="宋体" w:hAnsi="宋体" w:eastAsia="宋体" w:cs="宋体"/>
              <w:szCs w:val="24"/>
            </w:rPr>
            <w:fldChar w:fldCharType="end"/>
          </w:r>
        </w:p>
        <w:p w14:paraId="3E0DCDD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_Toc24586 </w:instrText>
          </w:r>
          <w:r>
            <w:rPr>
              <w:rFonts w:hint="eastAsia" w:ascii="宋体" w:hAnsi="宋体" w:eastAsia="宋体" w:cs="宋体"/>
              <w:szCs w:val="24"/>
            </w:rPr>
            <w:fldChar w:fldCharType="separate"/>
          </w:r>
          <w:r>
            <w:rPr>
              <w:rFonts w:hint="default"/>
              <w:lang w:val="en-US" w:eastAsia="zh-CN"/>
            </w:rPr>
            <w:t>2. 实施目标</w:t>
          </w:r>
          <w:r>
            <w:tab/>
          </w:r>
          <w:r>
            <w:fldChar w:fldCharType="begin"/>
          </w:r>
          <w:r>
            <w:instrText xml:space="preserve"> PAGEREF _Toc24586 \h </w:instrText>
          </w:r>
          <w:r>
            <w:fldChar w:fldCharType="separate"/>
          </w:r>
          <w:r>
            <w:t>5</w:t>
          </w:r>
          <w:r>
            <w:fldChar w:fldCharType="end"/>
          </w:r>
          <w:r>
            <w:rPr>
              <w:rFonts w:hint="eastAsia" w:ascii="宋体" w:hAnsi="宋体" w:eastAsia="宋体" w:cs="宋体"/>
              <w:szCs w:val="24"/>
            </w:rPr>
            <w:fldChar w:fldCharType="end"/>
          </w:r>
        </w:p>
        <w:p w14:paraId="16B1752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_Toc11981 </w:instrText>
          </w:r>
          <w:r>
            <w:rPr>
              <w:rFonts w:hint="eastAsia" w:ascii="宋体" w:hAnsi="宋体" w:eastAsia="宋体" w:cs="宋体"/>
              <w:szCs w:val="24"/>
            </w:rPr>
            <w:fldChar w:fldCharType="separate"/>
          </w:r>
          <w:r>
            <w:rPr>
              <w:rFonts w:hint="default"/>
              <w:lang w:val="en-US" w:eastAsia="zh-CN"/>
            </w:rPr>
            <w:t>2.1. 数据质量目标</w:t>
          </w:r>
          <w:r>
            <w:tab/>
          </w:r>
          <w:r>
            <w:fldChar w:fldCharType="begin"/>
          </w:r>
          <w:r>
            <w:instrText xml:space="preserve"> PAGEREF _Toc11981 \h </w:instrText>
          </w:r>
          <w:r>
            <w:fldChar w:fldCharType="separate"/>
          </w:r>
          <w:r>
            <w:t>5</w:t>
          </w:r>
          <w:r>
            <w:fldChar w:fldCharType="end"/>
          </w:r>
          <w:r>
            <w:rPr>
              <w:rFonts w:hint="eastAsia" w:ascii="宋体" w:hAnsi="宋体" w:eastAsia="宋体" w:cs="宋体"/>
              <w:szCs w:val="24"/>
            </w:rPr>
            <w:fldChar w:fldCharType="end"/>
          </w:r>
        </w:p>
        <w:p w14:paraId="683446A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_Toc29216 </w:instrText>
          </w:r>
          <w:r>
            <w:rPr>
              <w:rFonts w:hint="eastAsia" w:ascii="宋体" w:hAnsi="宋体" w:eastAsia="宋体" w:cs="宋体"/>
              <w:szCs w:val="24"/>
            </w:rPr>
            <w:fldChar w:fldCharType="separate"/>
          </w:r>
          <w:r>
            <w:rPr>
              <w:rFonts w:hint="default"/>
              <w:lang w:val="en-US" w:eastAsia="zh-CN"/>
            </w:rPr>
            <w:t>2.2. 业务支撑目标</w:t>
          </w:r>
          <w:r>
            <w:tab/>
          </w:r>
          <w:r>
            <w:fldChar w:fldCharType="begin"/>
          </w:r>
          <w:r>
            <w:instrText xml:space="preserve"> PAGEREF _Toc29216 \h </w:instrText>
          </w:r>
          <w:r>
            <w:fldChar w:fldCharType="separate"/>
          </w:r>
          <w:r>
            <w:t>5</w:t>
          </w:r>
          <w:r>
            <w:fldChar w:fldCharType="end"/>
          </w:r>
          <w:r>
            <w:rPr>
              <w:rFonts w:hint="eastAsia" w:ascii="宋体" w:hAnsi="宋体" w:eastAsia="宋体" w:cs="宋体"/>
              <w:szCs w:val="24"/>
            </w:rPr>
            <w:fldChar w:fldCharType="end"/>
          </w:r>
        </w:p>
        <w:p w14:paraId="1179EB4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_Toc21122 </w:instrText>
          </w:r>
          <w:r>
            <w:rPr>
              <w:rFonts w:hint="eastAsia" w:ascii="宋体" w:hAnsi="宋体" w:eastAsia="宋体" w:cs="宋体"/>
              <w:szCs w:val="24"/>
            </w:rPr>
            <w:fldChar w:fldCharType="separate"/>
          </w:r>
          <w:r>
            <w:rPr>
              <w:rFonts w:hint="default"/>
              <w:lang w:val="en-US" w:eastAsia="zh-CN"/>
            </w:rPr>
            <w:t>3. 具体实施策略</w:t>
          </w:r>
          <w:r>
            <w:tab/>
          </w:r>
          <w:r>
            <w:fldChar w:fldCharType="begin"/>
          </w:r>
          <w:r>
            <w:instrText xml:space="preserve"> PAGEREF _Toc21122 \h </w:instrText>
          </w:r>
          <w:r>
            <w:fldChar w:fldCharType="separate"/>
          </w:r>
          <w:r>
            <w:t>5</w:t>
          </w:r>
          <w:r>
            <w:fldChar w:fldCharType="end"/>
          </w:r>
          <w:r>
            <w:rPr>
              <w:rFonts w:hint="eastAsia" w:ascii="宋体" w:hAnsi="宋体" w:eastAsia="宋体" w:cs="宋体"/>
              <w:szCs w:val="24"/>
            </w:rPr>
            <w:fldChar w:fldCharType="end"/>
          </w:r>
        </w:p>
        <w:p w14:paraId="27D2BEE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_Toc18108 </w:instrText>
          </w:r>
          <w:r>
            <w:rPr>
              <w:rFonts w:hint="eastAsia" w:ascii="宋体" w:hAnsi="宋体" w:eastAsia="宋体" w:cs="宋体"/>
              <w:szCs w:val="24"/>
            </w:rPr>
            <w:fldChar w:fldCharType="separate"/>
          </w:r>
          <w:r>
            <w:rPr>
              <w:rFonts w:hint="default"/>
              <w:lang w:val="en-US" w:eastAsia="zh-CN"/>
            </w:rPr>
            <w:t>3.1. 分域清洗实施要点</w:t>
          </w:r>
          <w:r>
            <w:tab/>
          </w:r>
          <w:r>
            <w:fldChar w:fldCharType="begin"/>
          </w:r>
          <w:r>
            <w:instrText xml:space="preserve"> PAGEREF _Toc18108 \h </w:instrText>
          </w:r>
          <w:r>
            <w:fldChar w:fldCharType="separate"/>
          </w:r>
          <w:r>
            <w:t>5</w:t>
          </w:r>
          <w:r>
            <w:fldChar w:fldCharType="end"/>
          </w:r>
          <w:r>
            <w:rPr>
              <w:rFonts w:hint="eastAsia" w:ascii="宋体" w:hAnsi="宋体" w:eastAsia="宋体" w:cs="宋体"/>
              <w:szCs w:val="24"/>
            </w:rPr>
            <w:fldChar w:fldCharType="end"/>
          </w:r>
        </w:p>
        <w:p w14:paraId="012B2C3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_Toc11418 </w:instrText>
          </w:r>
          <w:r>
            <w:rPr>
              <w:rFonts w:hint="eastAsia" w:ascii="宋体" w:hAnsi="宋体" w:eastAsia="宋体" w:cs="宋体"/>
              <w:szCs w:val="24"/>
            </w:rPr>
            <w:fldChar w:fldCharType="separate"/>
          </w:r>
          <w:r>
            <w:rPr>
              <w:rFonts w:hint="default"/>
              <w:lang w:val="en-US" w:eastAsia="zh-CN"/>
            </w:rPr>
            <w:t>3.2. 技术工具与操作流程</w:t>
          </w:r>
          <w:r>
            <w:tab/>
          </w:r>
          <w:r>
            <w:fldChar w:fldCharType="begin"/>
          </w:r>
          <w:r>
            <w:instrText xml:space="preserve"> PAGEREF _Toc11418 \h </w:instrText>
          </w:r>
          <w:r>
            <w:fldChar w:fldCharType="separate"/>
          </w:r>
          <w:r>
            <w:t>6</w:t>
          </w:r>
          <w:r>
            <w:fldChar w:fldCharType="end"/>
          </w:r>
          <w:r>
            <w:rPr>
              <w:rFonts w:hint="eastAsia" w:ascii="宋体" w:hAnsi="宋体" w:eastAsia="宋体" w:cs="宋体"/>
              <w:szCs w:val="24"/>
            </w:rPr>
            <w:fldChar w:fldCharType="end"/>
          </w:r>
        </w:p>
        <w:p w14:paraId="731D0E4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_Toc27465 </w:instrText>
          </w:r>
          <w:r>
            <w:rPr>
              <w:rFonts w:hint="eastAsia" w:ascii="宋体" w:hAnsi="宋体" w:eastAsia="宋体" w:cs="宋体"/>
              <w:szCs w:val="24"/>
            </w:rPr>
            <w:fldChar w:fldCharType="separate"/>
          </w:r>
          <w:r>
            <w:rPr>
              <w:rFonts w:hint="default"/>
              <w:lang w:val="en-US" w:eastAsia="zh-CN"/>
            </w:rPr>
            <w:t>4. 详细实施步骤</w:t>
          </w:r>
          <w:r>
            <w:tab/>
          </w:r>
          <w:r>
            <w:fldChar w:fldCharType="begin"/>
          </w:r>
          <w:r>
            <w:instrText xml:space="preserve"> PAGEREF _Toc27465 \h </w:instrText>
          </w:r>
          <w:r>
            <w:fldChar w:fldCharType="separate"/>
          </w:r>
          <w:r>
            <w:t>6</w:t>
          </w:r>
          <w:r>
            <w:fldChar w:fldCharType="end"/>
          </w:r>
          <w:r>
            <w:rPr>
              <w:rFonts w:hint="eastAsia" w:ascii="宋体" w:hAnsi="宋体" w:eastAsia="宋体" w:cs="宋体"/>
              <w:szCs w:val="24"/>
            </w:rPr>
            <w:fldChar w:fldCharType="end"/>
          </w:r>
        </w:p>
        <w:p w14:paraId="6B00901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_Toc30357 </w:instrText>
          </w:r>
          <w:r>
            <w:rPr>
              <w:rFonts w:hint="eastAsia" w:ascii="宋体" w:hAnsi="宋体" w:eastAsia="宋体" w:cs="宋体"/>
              <w:szCs w:val="24"/>
            </w:rPr>
            <w:fldChar w:fldCharType="separate"/>
          </w:r>
          <w:r>
            <w:rPr>
              <w:rFonts w:hint="default"/>
              <w:lang w:val="en-US" w:eastAsia="zh-CN"/>
            </w:rPr>
            <w:t>4.1. 第一阶段：规则设计与环境准备（第1-30天）</w:t>
          </w:r>
          <w:r>
            <w:tab/>
          </w:r>
          <w:r>
            <w:fldChar w:fldCharType="begin"/>
          </w:r>
          <w:r>
            <w:instrText xml:space="preserve"> PAGEREF _Toc30357 \h </w:instrText>
          </w:r>
          <w:r>
            <w:fldChar w:fldCharType="separate"/>
          </w:r>
          <w:r>
            <w:t>6</w:t>
          </w:r>
          <w:r>
            <w:fldChar w:fldCharType="end"/>
          </w:r>
          <w:r>
            <w:rPr>
              <w:rFonts w:hint="eastAsia" w:ascii="宋体" w:hAnsi="宋体" w:eastAsia="宋体" w:cs="宋体"/>
              <w:szCs w:val="24"/>
            </w:rPr>
            <w:fldChar w:fldCharType="end"/>
          </w:r>
        </w:p>
        <w:p w14:paraId="73F0B95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_Toc30235 </w:instrText>
          </w:r>
          <w:r>
            <w:rPr>
              <w:rFonts w:hint="eastAsia" w:ascii="宋体" w:hAnsi="宋体" w:eastAsia="宋体" w:cs="宋体"/>
              <w:szCs w:val="24"/>
            </w:rPr>
            <w:fldChar w:fldCharType="separate"/>
          </w:r>
          <w:r>
            <w:rPr>
              <w:rFonts w:hint="default"/>
              <w:lang w:val="en-US" w:eastAsia="zh-CN"/>
            </w:rPr>
            <w:t>4.2. 第二阶段：集成联调与试运行（第31-60天）</w:t>
          </w:r>
          <w:r>
            <w:tab/>
          </w:r>
          <w:r>
            <w:fldChar w:fldCharType="begin"/>
          </w:r>
          <w:r>
            <w:instrText xml:space="preserve"> PAGEREF _Toc30235 \h </w:instrText>
          </w:r>
          <w:r>
            <w:fldChar w:fldCharType="separate"/>
          </w:r>
          <w:r>
            <w:t>7</w:t>
          </w:r>
          <w:r>
            <w:fldChar w:fldCharType="end"/>
          </w:r>
          <w:r>
            <w:rPr>
              <w:rFonts w:hint="eastAsia" w:ascii="宋体" w:hAnsi="宋体" w:eastAsia="宋体" w:cs="宋体"/>
              <w:szCs w:val="24"/>
            </w:rPr>
            <w:fldChar w:fldCharType="end"/>
          </w:r>
        </w:p>
        <w:p w14:paraId="131F3BC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_Toc27896 </w:instrText>
          </w:r>
          <w:r>
            <w:rPr>
              <w:rFonts w:hint="eastAsia" w:ascii="宋体" w:hAnsi="宋体" w:eastAsia="宋体" w:cs="宋体"/>
              <w:szCs w:val="24"/>
            </w:rPr>
            <w:fldChar w:fldCharType="separate"/>
          </w:r>
          <w:r>
            <w:rPr>
              <w:rFonts w:hint="default"/>
              <w:lang w:val="en-US" w:eastAsia="zh-CN"/>
            </w:rPr>
            <w:t>4.3. 第三阶段：全量上线与监控（第61-75天）</w:t>
          </w:r>
          <w:r>
            <w:tab/>
          </w:r>
          <w:r>
            <w:fldChar w:fldCharType="begin"/>
          </w:r>
          <w:r>
            <w:instrText xml:space="preserve"> PAGEREF _Toc27896 \h </w:instrText>
          </w:r>
          <w:r>
            <w:fldChar w:fldCharType="separate"/>
          </w:r>
          <w:r>
            <w:t>7</w:t>
          </w:r>
          <w:r>
            <w:fldChar w:fldCharType="end"/>
          </w:r>
          <w:r>
            <w:rPr>
              <w:rFonts w:hint="eastAsia" w:ascii="宋体" w:hAnsi="宋体" w:eastAsia="宋体" w:cs="宋体"/>
              <w:szCs w:val="24"/>
            </w:rPr>
            <w:fldChar w:fldCharType="end"/>
          </w:r>
        </w:p>
        <w:p w14:paraId="6E9F2E8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_Toc23297 </w:instrText>
          </w:r>
          <w:r>
            <w:rPr>
              <w:rFonts w:hint="eastAsia" w:ascii="宋体" w:hAnsi="宋体" w:eastAsia="宋体" w:cs="宋体"/>
              <w:szCs w:val="24"/>
            </w:rPr>
            <w:fldChar w:fldCharType="separate"/>
          </w:r>
          <w:r>
            <w:rPr>
              <w:rFonts w:hint="default"/>
              <w:lang w:val="en-US" w:eastAsia="zh-CN"/>
            </w:rPr>
            <w:t>4.4. 第四阶段：验收支持与知识转移（第76-90天）</w:t>
          </w:r>
          <w:r>
            <w:tab/>
          </w:r>
          <w:r>
            <w:fldChar w:fldCharType="begin"/>
          </w:r>
          <w:r>
            <w:instrText xml:space="preserve"> PAGEREF _Toc23297 \h </w:instrText>
          </w:r>
          <w:r>
            <w:fldChar w:fldCharType="separate"/>
          </w:r>
          <w:r>
            <w:t>7</w:t>
          </w:r>
          <w:r>
            <w:fldChar w:fldCharType="end"/>
          </w:r>
          <w:r>
            <w:rPr>
              <w:rFonts w:hint="eastAsia" w:ascii="宋体" w:hAnsi="宋体" w:eastAsia="宋体" w:cs="宋体"/>
              <w:szCs w:val="24"/>
            </w:rPr>
            <w:fldChar w:fldCharType="end"/>
          </w:r>
        </w:p>
        <w:p w14:paraId="02653FC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_Toc16439 </w:instrText>
          </w:r>
          <w:r>
            <w:rPr>
              <w:rFonts w:hint="eastAsia" w:ascii="宋体" w:hAnsi="宋体" w:eastAsia="宋体" w:cs="宋体"/>
              <w:szCs w:val="24"/>
            </w:rPr>
            <w:fldChar w:fldCharType="separate"/>
          </w:r>
          <w:r>
            <w:rPr>
              <w:rFonts w:hint="default"/>
              <w:lang w:val="en-US" w:eastAsia="zh-CN"/>
            </w:rPr>
            <w:t>5. 风险管理与质量控制</w:t>
          </w:r>
          <w:r>
            <w:tab/>
          </w:r>
          <w:r>
            <w:fldChar w:fldCharType="begin"/>
          </w:r>
          <w:r>
            <w:instrText xml:space="preserve"> PAGEREF _Toc16439 \h </w:instrText>
          </w:r>
          <w:r>
            <w:fldChar w:fldCharType="separate"/>
          </w:r>
          <w:r>
            <w:t>7</w:t>
          </w:r>
          <w:r>
            <w:fldChar w:fldCharType="end"/>
          </w:r>
          <w:r>
            <w:rPr>
              <w:rFonts w:hint="eastAsia" w:ascii="宋体" w:hAnsi="宋体" w:eastAsia="宋体" w:cs="宋体"/>
              <w:szCs w:val="24"/>
            </w:rPr>
            <w:fldChar w:fldCharType="end"/>
          </w:r>
        </w:p>
        <w:p w14:paraId="534099C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_Toc19732 </w:instrText>
          </w:r>
          <w:r>
            <w:rPr>
              <w:rFonts w:hint="eastAsia" w:ascii="宋体" w:hAnsi="宋体" w:eastAsia="宋体" w:cs="宋体"/>
              <w:szCs w:val="24"/>
            </w:rPr>
            <w:fldChar w:fldCharType="separate"/>
          </w:r>
          <w:r>
            <w:rPr>
              <w:rFonts w:hint="default"/>
              <w:lang w:val="en-US" w:eastAsia="zh-CN"/>
            </w:rPr>
            <w:t>5.1. 关键风险与应对</w:t>
          </w:r>
          <w:r>
            <w:tab/>
          </w:r>
          <w:r>
            <w:fldChar w:fldCharType="begin"/>
          </w:r>
          <w:r>
            <w:instrText xml:space="preserve"> PAGEREF _Toc19732 \h </w:instrText>
          </w:r>
          <w:r>
            <w:fldChar w:fldCharType="separate"/>
          </w:r>
          <w:r>
            <w:t>7</w:t>
          </w:r>
          <w:r>
            <w:fldChar w:fldCharType="end"/>
          </w:r>
          <w:r>
            <w:rPr>
              <w:rFonts w:hint="eastAsia" w:ascii="宋体" w:hAnsi="宋体" w:eastAsia="宋体" w:cs="宋体"/>
              <w:szCs w:val="24"/>
            </w:rPr>
            <w:fldChar w:fldCharType="end"/>
          </w:r>
        </w:p>
        <w:p w14:paraId="73B682B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_Toc20908 </w:instrText>
          </w:r>
          <w:r>
            <w:rPr>
              <w:rFonts w:hint="eastAsia" w:ascii="宋体" w:hAnsi="宋体" w:eastAsia="宋体" w:cs="宋体"/>
              <w:szCs w:val="24"/>
            </w:rPr>
            <w:fldChar w:fldCharType="separate"/>
          </w:r>
          <w:r>
            <w:rPr>
              <w:rFonts w:hint="default"/>
              <w:lang w:val="en-US" w:eastAsia="zh-CN"/>
            </w:rPr>
            <w:t>5.2. 质量控制活动</w:t>
          </w:r>
          <w:r>
            <w:tab/>
          </w:r>
          <w:r>
            <w:fldChar w:fldCharType="begin"/>
          </w:r>
          <w:r>
            <w:instrText xml:space="preserve"> PAGEREF _Toc20908 \h </w:instrText>
          </w:r>
          <w:r>
            <w:fldChar w:fldCharType="separate"/>
          </w:r>
          <w:r>
            <w:t>8</w:t>
          </w:r>
          <w:r>
            <w:fldChar w:fldCharType="end"/>
          </w:r>
          <w:r>
            <w:rPr>
              <w:rFonts w:hint="eastAsia" w:ascii="宋体" w:hAnsi="宋体" w:eastAsia="宋体" w:cs="宋体"/>
              <w:szCs w:val="24"/>
            </w:rPr>
            <w:fldChar w:fldCharType="end"/>
          </w:r>
        </w:p>
        <w:p w14:paraId="0EB0DC7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_Toc24650 </w:instrText>
          </w:r>
          <w:r>
            <w:rPr>
              <w:rFonts w:hint="eastAsia" w:ascii="宋体" w:hAnsi="宋体" w:eastAsia="宋体" w:cs="宋体"/>
              <w:szCs w:val="24"/>
            </w:rPr>
            <w:fldChar w:fldCharType="separate"/>
          </w:r>
          <w:r>
            <w:rPr>
              <w:rFonts w:hint="default"/>
              <w:lang w:val="en-US" w:eastAsia="zh-CN"/>
            </w:rPr>
            <w:t>6. 交付物清单</w:t>
          </w:r>
          <w:r>
            <w:tab/>
          </w:r>
          <w:r>
            <w:fldChar w:fldCharType="begin"/>
          </w:r>
          <w:r>
            <w:instrText xml:space="preserve"> PAGEREF _Toc24650 \h </w:instrText>
          </w:r>
          <w:r>
            <w:fldChar w:fldCharType="separate"/>
          </w:r>
          <w:r>
            <w:t>8</w:t>
          </w:r>
          <w:r>
            <w:fldChar w:fldCharType="end"/>
          </w:r>
          <w:r>
            <w:rPr>
              <w:rFonts w:hint="eastAsia" w:ascii="宋体" w:hAnsi="宋体" w:eastAsia="宋体" w:cs="宋体"/>
              <w:szCs w:val="24"/>
            </w:rPr>
            <w:fldChar w:fldCharType="end"/>
          </w:r>
        </w:p>
        <w:p w14:paraId="38600140">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89DD95B">
      <w:pPr>
        <w:rPr>
          <w:rFonts w:hint="default"/>
          <w:lang w:val="en-US" w:eastAsia="zh-CN"/>
        </w:rPr>
      </w:pPr>
      <w:r>
        <w:rPr>
          <w:rFonts w:hint="default"/>
          <w:lang w:val="en-US" w:eastAsia="zh-CN"/>
        </w:rPr>
        <w:br w:type="page"/>
      </w:r>
    </w:p>
    <w:p w14:paraId="00EB2965">
      <w:pPr>
        <w:pStyle w:val="29"/>
        <w:bidi w:val="0"/>
        <w:rPr>
          <w:rFonts w:hint="default"/>
          <w:lang w:val="en-US" w:eastAsia="zh-CN"/>
        </w:rPr>
      </w:pPr>
      <w:bookmarkStart w:id="2" w:name="_Toc8784"/>
      <w:r>
        <w:rPr>
          <w:rFonts w:hint="default"/>
          <w:lang w:val="en-US" w:eastAsia="zh-CN"/>
        </w:rPr>
        <w:t>文档概述</w:t>
      </w:r>
      <w:bookmarkEnd w:id="2"/>
    </w:p>
    <w:p w14:paraId="6D07855A">
      <w:pPr>
        <w:pStyle w:val="31"/>
        <w:bidi w:val="0"/>
        <w:rPr>
          <w:rFonts w:hint="default"/>
          <w:lang w:val="en-US" w:eastAsia="zh-CN"/>
        </w:rPr>
      </w:pPr>
      <w:bookmarkStart w:id="3" w:name="_Toc20762"/>
      <w:r>
        <w:rPr>
          <w:rFonts w:hint="default"/>
          <w:lang w:val="en-US" w:eastAsia="zh-CN"/>
        </w:rPr>
        <w:t>目的</w:t>
      </w:r>
      <w:bookmarkEnd w:id="3"/>
    </w:p>
    <w:p w14:paraId="103D8612">
      <w:pPr>
        <w:pStyle w:val="30"/>
        <w:bidi w:val="0"/>
        <w:rPr>
          <w:rFonts w:hint="default"/>
          <w:lang w:val="en-US" w:eastAsia="zh-CN"/>
        </w:rPr>
      </w:pPr>
      <w:r>
        <w:rPr>
          <w:rFonts w:hint="default"/>
          <w:lang w:val="en-US" w:eastAsia="zh-CN"/>
        </w:rPr>
        <w:t>本文档旨在为"烟台林海嵎峡田综合体智慧农业大数据平台建设项目"提供具体、可操作的数据清洗实施方法。本方法严格遵循《数据清洗策略需求分析报告》的业务需求与《数据清洗策略方案》的技术架构，确保数据清洗工作能够高质量、高效率地落地执行，保障平台数据的准确性、一致性与时效性。</w:t>
      </w:r>
    </w:p>
    <w:p w14:paraId="3BC6CB92">
      <w:pPr>
        <w:pStyle w:val="31"/>
        <w:bidi w:val="0"/>
        <w:rPr>
          <w:rFonts w:hint="default"/>
          <w:lang w:val="en-US" w:eastAsia="zh-CN"/>
        </w:rPr>
      </w:pPr>
      <w:bookmarkStart w:id="4" w:name="_Toc7066"/>
      <w:r>
        <w:rPr>
          <w:rFonts w:hint="default"/>
          <w:lang w:val="en-US" w:eastAsia="zh-CN"/>
        </w:rPr>
        <w:t>适用范围</w:t>
      </w:r>
      <w:bookmarkEnd w:id="4"/>
    </w:p>
    <w:p w14:paraId="5E0B0F02">
      <w:pPr>
        <w:pStyle w:val="30"/>
        <w:bidi w:val="0"/>
        <w:rPr>
          <w:rFonts w:hint="default"/>
          <w:lang w:val="en-US" w:eastAsia="zh-CN"/>
        </w:rPr>
      </w:pPr>
      <w:r>
        <w:rPr>
          <w:rFonts w:hint="default"/>
          <w:lang w:val="en-US" w:eastAsia="zh-CN"/>
        </w:rPr>
        <w:t>本方法适用于本项目所有数据源的清洗实施工作，具体包括但不限于以下四类数据域：</w:t>
      </w:r>
    </w:p>
    <w:p w14:paraId="03E14309">
      <w:pPr>
        <w:pStyle w:val="30"/>
        <w:bidi w:val="0"/>
        <w:rPr>
          <w:rFonts w:hint="default"/>
          <w:lang w:val="en-US" w:eastAsia="zh-CN"/>
        </w:rPr>
      </w:pPr>
      <w:r>
        <w:rPr>
          <w:rFonts w:hint="default"/>
          <w:lang w:val="en-US" w:eastAsia="zh-CN"/>
        </w:rPr>
        <w:t>视频与图像数据域：各类高清摄像机、AI布控系统产生的视频流、图片及结构化数据。</w:t>
      </w:r>
    </w:p>
    <w:p w14:paraId="42EBB293">
      <w:pPr>
        <w:pStyle w:val="30"/>
        <w:bidi w:val="0"/>
        <w:rPr>
          <w:rFonts w:hint="default"/>
          <w:lang w:val="en-US" w:eastAsia="zh-CN"/>
        </w:rPr>
      </w:pPr>
      <w:r>
        <w:rPr>
          <w:rFonts w:hint="default"/>
          <w:lang w:val="en-US" w:eastAsia="zh-CN"/>
        </w:rPr>
        <w:t>物联网感知数据域：太阳能系统、环境传感器等产生的时序数据。</w:t>
      </w:r>
    </w:p>
    <w:p w14:paraId="51C92EE2">
      <w:pPr>
        <w:pStyle w:val="30"/>
        <w:bidi w:val="0"/>
        <w:rPr>
          <w:rFonts w:hint="default"/>
          <w:lang w:val="en-US" w:eastAsia="zh-CN"/>
        </w:rPr>
      </w:pPr>
      <w:r>
        <w:rPr>
          <w:rFonts w:hint="default"/>
          <w:lang w:val="en-US" w:eastAsia="zh-CN"/>
        </w:rPr>
        <w:t>基础设施日志数据域：网络设备、服务器、存储阵列等产生的日志与状态数据。</w:t>
      </w:r>
    </w:p>
    <w:p w14:paraId="3B315A54">
      <w:pPr>
        <w:pStyle w:val="30"/>
        <w:bidi w:val="0"/>
        <w:rPr>
          <w:rFonts w:hint="default"/>
          <w:lang w:val="en-US" w:eastAsia="zh-CN"/>
        </w:rPr>
      </w:pPr>
      <w:r>
        <w:rPr>
          <w:rFonts w:hint="default"/>
          <w:lang w:val="en-US" w:eastAsia="zh-CN"/>
        </w:rPr>
        <w:t>业务与应用数据域：平台各业务系统产生的管理数据、配置数据与事务数据。</w:t>
      </w:r>
    </w:p>
    <w:p w14:paraId="58BB6112">
      <w:pPr>
        <w:pStyle w:val="30"/>
        <w:bidi w:val="0"/>
        <w:rPr>
          <w:rFonts w:hint="default"/>
          <w:lang w:val="en-US" w:eastAsia="zh-CN"/>
        </w:rPr>
      </w:pPr>
      <w:r>
        <w:rPr>
          <w:rFonts w:hint="default"/>
          <w:lang w:val="en-US" w:eastAsia="zh-CN"/>
        </w:rPr>
        <w:t>本方法主要面向数据工程师、开发人员及运维实施团队，为其提供具体的技术操作指引。</w:t>
      </w:r>
    </w:p>
    <w:p w14:paraId="33EF906A">
      <w:pPr>
        <w:pStyle w:val="31"/>
        <w:bidi w:val="0"/>
        <w:rPr>
          <w:rFonts w:hint="default"/>
          <w:lang w:val="en-US" w:eastAsia="zh-CN"/>
        </w:rPr>
      </w:pPr>
      <w:bookmarkStart w:id="5" w:name="_Toc16819"/>
      <w:r>
        <w:rPr>
          <w:rFonts w:hint="default"/>
          <w:lang w:val="en-US" w:eastAsia="zh-CN"/>
        </w:rPr>
        <w:t>术语定义</w:t>
      </w:r>
      <w:bookmarkEnd w:id="5"/>
    </w:p>
    <w:p w14:paraId="3CE0B0D1">
      <w:pPr>
        <w:pStyle w:val="30"/>
        <w:bidi w:val="0"/>
        <w:rPr>
          <w:rFonts w:hint="default"/>
          <w:lang w:val="en-US" w:eastAsia="zh-CN"/>
        </w:rPr>
      </w:pPr>
      <w:r>
        <w:rPr>
          <w:rFonts w:hint="default"/>
          <w:lang w:val="en-US" w:eastAsia="zh-CN"/>
        </w:rPr>
        <w:t>数据清洗：指按照预定义的业务规则与技术逻辑，对原始数据进行检测、修正、转换或标记，以提升其准确性、完整性、一致性、唯一性与时效性的过程。</w:t>
      </w:r>
    </w:p>
    <w:p w14:paraId="06BE8D1A">
      <w:pPr>
        <w:pStyle w:val="30"/>
        <w:bidi w:val="0"/>
        <w:rPr>
          <w:rFonts w:hint="default"/>
          <w:lang w:val="en-US" w:eastAsia="zh-CN"/>
        </w:rPr>
      </w:pPr>
      <w:r>
        <w:rPr>
          <w:rFonts w:hint="default"/>
          <w:lang w:val="en-US" w:eastAsia="zh-CN"/>
        </w:rPr>
        <w:t>数据质量KPI：衡量数据清洗效果的关键量化指标，如准确率、采集率、延迟等。</w:t>
      </w:r>
    </w:p>
    <w:p w14:paraId="2EDD3F17">
      <w:pPr>
        <w:pStyle w:val="30"/>
        <w:bidi w:val="0"/>
        <w:rPr>
          <w:rFonts w:hint="default"/>
          <w:lang w:val="en-US" w:eastAsia="zh-CN"/>
        </w:rPr>
      </w:pPr>
      <w:r>
        <w:rPr>
          <w:rFonts w:hint="default"/>
          <w:lang w:val="en-US" w:eastAsia="zh-CN"/>
        </w:rPr>
        <w:t>数据血缘：记录数据从源头到最终形态的完整处理路径与变换关系。</w:t>
      </w:r>
    </w:p>
    <w:p w14:paraId="6C0CAB0C">
      <w:pPr>
        <w:pStyle w:val="29"/>
        <w:bidi w:val="0"/>
        <w:rPr>
          <w:rFonts w:hint="default"/>
          <w:lang w:val="en-US" w:eastAsia="zh-CN"/>
        </w:rPr>
      </w:pPr>
      <w:bookmarkStart w:id="6" w:name="_Toc24586"/>
      <w:r>
        <w:rPr>
          <w:rFonts w:hint="default"/>
          <w:lang w:val="en-US" w:eastAsia="zh-CN"/>
        </w:rPr>
        <w:t>实施目标</w:t>
      </w:r>
      <w:bookmarkEnd w:id="6"/>
    </w:p>
    <w:p w14:paraId="1D567A3F">
      <w:pPr>
        <w:pStyle w:val="31"/>
        <w:bidi w:val="0"/>
        <w:rPr>
          <w:rFonts w:hint="default"/>
          <w:lang w:val="en-US" w:eastAsia="zh-CN"/>
        </w:rPr>
      </w:pPr>
      <w:bookmarkStart w:id="7" w:name="_Toc11981"/>
      <w:r>
        <w:rPr>
          <w:rFonts w:hint="default"/>
          <w:lang w:val="en-US" w:eastAsia="zh-CN"/>
        </w:rPr>
        <w:t>数据质量目标</w:t>
      </w:r>
      <w:bookmarkEnd w:id="7"/>
    </w:p>
    <w:p w14:paraId="2B5E8035">
      <w:pPr>
        <w:pStyle w:val="30"/>
        <w:bidi w:val="0"/>
        <w:rPr>
          <w:rFonts w:hint="default"/>
          <w:lang w:val="en-US" w:eastAsia="zh-CN"/>
        </w:rPr>
      </w:pPr>
      <w:r>
        <w:rPr>
          <w:rFonts w:hint="default"/>
          <w:lang w:val="en-US" w:eastAsia="zh-CN"/>
        </w:rPr>
        <w:t>通过实施本方法，确保清洗后数据达到以下量化标准：</w:t>
      </w:r>
    </w:p>
    <w:p w14:paraId="2096EC8E">
      <w:pPr>
        <w:pStyle w:val="30"/>
        <w:bidi w:val="0"/>
        <w:rPr>
          <w:rFonts w:hint="default"/>
          <w:lang w:val="en-US" w:eastAsia="zh-CN"/>
        </w:rPr>
      </w:pPr>
      <w:r>
        <w:rPr>
          <w:rFonts w:hint="default"/>
          <w:lang w:val="en-US" w:eastAsia="zh-CN"/>
        </w:rPr>
        <w:t>准确性：核心业务字段值与其真实状态的一致性，AI识别准确率不低于95%。</w:t>
      </w:r>
    </w:p>
    <w:p w14:paraId="34A7CB90">
      <w:pPr>
        <w:pStyle w:val="30"/>
        <w:bidi w:val="0"/>
        <w:rPr>
          <w:rFonts w:hint="default"/>
          <w:lang w:val="en-US" w:eastAsia="zh-CN"/>
        </w:rPr>
      </w:pPr>
      <w:r>
        <w:rPr>
          <w:rFonts w:hint="default"/>
          <w:lang w:val="en-US" w:eastAsia="zh-CN"/>
        </w:rPr>
        <w:t>完整性：关键数据采集无缺失，物联网感知数据有效采集率不低于99%。</w:t>
      </w:r>
    </w:p>
    <w:p w14:paraId="16423585">
      <w:pPr>
        <w:pStyle w:val="30"/>
        <w:bidi w:val="0"/>
        <w:rPr>
          <w:rFonts w:hint="default"/>
          <w:lang w:val="en-US" w:eastAsia="zh-CN"/>
        </w:rPr>
      </w:pPr>
      <w:r>
        <w:rPr>
          <w:rFonts w:hint="default"/>
          <w:lang w:val="en-US" w:eastAsia="zh-CN"/>
        </w:rPr>
        <w:t>一致性：同一实体在不同系统中的标识与属性完全统一，主数据一致率达到100%。</w:t>
      </w:r>
    </w:p>
    <w:p w14:paraId="19F1FAC7">
      <w:pPr>
        <w:pStyle w:val="30"/>
        <w:bidi w:val="0"/>
        <w:rPr>
          <w:rFonts w:hint="default"/>
          <w:lang w:val="en-US" w:eastAsia="zh-CN"/>
        </w:rPr>
      </w:pPr>
      <w:r>
        <w:rPr>
          <w:rFonts w:hint="default"/>
          <w:lang w:val="en-US" w:eastAsia="zh-CN"/>
        </w:rPr>
        <w:t>时效性：数据从产生到可用的端到端延迟（P95）不超过10秒。</w:t>
      </w:r>
    </w:p>
    <w:p w14:paraId="34423A99">
      <w:pPr>
        <w:pStyle w:val="30"/>
        <w:bidi w:val="0"/>
        <w:rPr>
          <w:rFonts w:hint="default"/>
          <w:lang w:val="en-US" w:eastAsia="zh-CN"/>
        </w:rPr>
      </w:pPr>
      <w:r>
        <w:rPr>
          <w:rFonts w:hint="default"/>
          <w:lang w:val="en-US" w:eastAsia="zh-CN"/>
        </w:rPr>
        <w:t>唯一性：业务数据中的重复记录率低于0.1%。</w:t>
      </w:r>
    </w:p>
    <w:p w14:paraId="3594127E">
      <w:pPr>
        <w:pStyle w:val="31"/>
        <w:bidi w:val="0"/>
        <w:rPr>
          <w:rFonts w:hint="default"/>
          <w:lang w:val="en-US" w:eastAsia="zh-CN"/>
        </w:rPr>
      </w:pPr>
      <w:bookmarkStart w:id="8" w:name="_Toc29216"/>
      <w:r>
        <w:rPr>
          <w:rFonts w:hint="default"/>
          <w:lang w:val="en-US" w:eastAsia="zh-CN"/>
        </w:rPr>
        <w:t>业务支撑目标</w:t>
      </w:r>
      <w:bookmarkEnd w:id="8"/>
    </w:p>
    <w:p w14:paraId="19808293">
      <w:pPr>
        <w:pStyle w:val="30"/>
        <w:bidi w:val="0"/>
        <w:rPr>
          <w:rFonts w:hint="default"/>
          <w:lang w:val="en-US" w:eastAsia="zh-CN"/>
        </w:rPr>
      </w:pPr>
      <w:r>
        <w:rPr>
          <w:rFonts w:hint="default"/>
          <w:lang w:val="en-US" w:eastAsia="zh-CN"/>
        </w:rPr>
        <w:t>为智慧农业决策提供可信赖的环境与生产数据。</w:t>
      </w:r>
    </w:p>
    <w:p w14:paraId="2AE20581">
      <w:pPr>
        <w:pStyle w:val="30"/>
        <w:bidi w:val="0"/>
        <w:rPr>
          <w:rFonts w:hint="default"/>
          <w:lang w:val="en-US" w:eastAsia="zh-CN"/>
        </w:rPr>
      </w:pPr>
      <w:r>
        <w:rPr>
          <w:rFonts w:hint="default"/>
          <w:lang w:val="en-US" w:eastAsia="zh-CN"/>
        </w:rPr>
        <w:t>为园区安防提供实时、准确的视频与事件数据。</w:t>
      </w:r>
    </w:p>
    <w:p w14:paraId="0BC1AA6D">
      <w:pPr>
        <w:pStyle w:val="30"/>
        <w:bidi w:val="0"/>
        <w:rPr>
          <w:rFonts w:hint="default"/>
          <w:lang w:val="en-US" w:eastAsia="zh-CN"/>
        </w:rPr>
      </w:pPr>
      <w:r>
        <w:rPr>
          <w:rFonts w:hint="default"/>
          <w:lang w:val="en-US" w:eastAsia="zh-CN"/>
        </w:rPr>
        <w:t>为运营大屏与综合管理提供一致、及时的数据指标。</w:t>
      </w:r>
    </w:p>
    <w:p w14:paraId="5B6C6105">
      <w:pPr>
        <w:pStyle w:val="29"/>
        <w:bidi w:val="0"/>
        <w:rPr>
          <w:rFonts w:hint="default"/>
          <w:lang w:val="en-US" w:eastAsia="zh-CN"/>
        </w:rPr>
      </w:pPr>
      <w:bookmarkStart w:id="9" w:name="_Toc21122"/>
      <w:r>
        <w:rPr>
          <w:rFonts w:hint="default"/>
          <w:lang w:val="en-US" w:eastAsia="zh-CN"/>
        </w:rPr>
        <w:t>具体实施策略</w:t>
      </w:r>
      <w:bookmarkEnd w:id="9"/>
    </w:p>
    <w:p w14:paraId="21B16767">
      <w:pPr>
        <w:pStyle w:val="31"/>
        <w:bidi w:val="0"/>
        <w:rPr>
          <w:rFonts w:hint="default"/>
          <w:lang w:val="en-US" w:eastAsia="zh-CN"/>
        </w:rPr>
      </w:pPr>
      <w:bookmarkStart w:id="10" w:name="_Toc18108"/>
      <w:r>
        <w:rPr>
          <w:rFonts w:hint="default"/>
          <w:lang w:val="en-US" w:eastAsia="zh-CN"/>
        </w:rPr>
        <w:t>分域清洗实施要点</w:t>
      </w:r>
      <w:bookmarkEnd w:id="10"/>
    </w:p>
    <w:p w14:paraId="30EE223F">
      <w:pPr>
        <w:pStyle w:val="30"/>
        <w:bidi w:val="0"/>
        <w:rPr>
          <w:rFonts w:hint="default"/>
          <w:lang w:val="en-US" w:eastAsia="zh-CN"/>
        </w:rPr>
      </w:pPr>
      <w:r>
        <w:rPr>
          <w:rFonts w:hint="default"/>
          <w:lang w:val="en-US" w:eastAsia="zh-CN"/>
        </w:rPr>
        <w:t>视频与图像数据域：部署视频流健康度监测服务，实时检测断流并尝试补帧；采用网络时间协议（NTP）强制统一所有视频设备时钟；在AI分析服务器侧，对识别结果（如车牌、人脸）增加置信度过滤层，低于阈值（如0.9）的结果自动转存至待人工复核库，同时记录日志供模型优化。</w:t>
      </w:r>
    </w:p>
    <w:p w14:paraId="4AFD7E7C">
      <w:pPr>
        <w:pStyle w:val="30"/>
        <w:bidi w:val="0"/>
        <w:rPr>
          <w:rFonts w:hint="default"/>
          <w:lang w:val="en-US" w:eastAsia="zh-CN"/>
        </w:rPr>
      </w:pPr>
      <w:r>
        <w:rPr>
          <w:rFonts w:hint="default"/>
          <w:lang w:val="en-US" w:eastAsia="zh-CN"/>
        </w:rPr>
        <w:t>物联网感知数据域：在数据接入层部署规则引擎，对每一条传感数据执行阈值校验（如土壤湿度范围0-100%），超出范围则标记为"异常"并触发告警；对时序数据流采用滑动窗口进行平滑滤波；建立设备心跳机制，对持续无信号设备生成运维工单，其缺失数据在业务侧标记为"设备离线"。</w:t>
      </w:r>
    </w:p>
    <w:p w14:paraId="24188991">
      <w:pPr>
        <w:pStyle w:val="30"/>
        <w:bidi w:val="0"/>
        <w:rPr>
          <w:rFonts w:hint="default"/>
          <w:lang w:val="en-US" w:eastAsia="zh-CN"/>
        </w:rPr>
      </w:pPr>
      <w:r>
        <w:rPr>
          <w:rFonts w:hint="default"/>
          <w:lang w:val="en-US" w:eastAsia="zh-CN"/>
        </w:rPr>
        <w:t>基础设施日志数据域：通过日志采集代理（如Filebeat）统一收集日志，并使用预定义的解析规则（正则表达式或GROK模式）提取关键字段；搭建Elasticsearch集群存储日志，并设置告警规则，对"ERROR"、"CRITICAL"级别日志及关键性能指标（如CPU&gt;90%）进行实时通知。</w:t>
      </w:r>
    </w:p>
    <w:p w14:paraId="1D0367CD">
      <w:pPr>
        <w:pStyle w:val="30"/>
        <w:bidi w:val="0"/>
        <w:rPr>
          <w:rFonts w:hint="default"/>
          <w:lang w:val="en-US" w:eastAsia="zh-CN"/>
        </w:rPr>
      </w:pPr>
      <w:r>
        <w:rPr>
          <w:rFonts w:hint="default"/>
          <w:lang w:val="en-US" w:eastAsia="zh-CN"/>
        </w:rPr>
        <w:t>业务与应用数据域：在数据仓库ODS层实施ETL清洗，包括格式标准化（日期、数值）、代码统一映射（如天气代码转换）、基于关键字段（如设备ID、时间戳）的去重处理；建立主数据管理模块，维护设备、地块等核心实体的唯一编码，并在各系统间通过服务接口同步。</w:t>
      </w:r>
    </w:p>
    <w:p w14:paraId="29DF9660">
      <w:pPr>
        <w:pStyle w:val="31"/>
        <w:bidi w:val="0"/>
        <w:rPr>
          <w:rFonts w:hint="default"/>
          <w:lang w:val="en-US" w:eastAsia="zh-CN"/>
        </w:rPr>
      </w:pPr>
      <w:bookmarkStart w:id="11" w:name="_Toc11418"/>
      <w:r>
        <w:rPr>
          <w:rFonts w:hint="default"/>
          <w:lang w:val="en-US" w:eastAsia="zh-CN"/>
        </w:rPr>
        <w:t>技术工具与操作流程</w:t>
      </w:r>
      <w:bookmarkEnd w:id="11"/>
    </w:p>
    <w:p w14:paraId="06815487">
      <w:pPr>
        <w:pStyle w:val="30"/>
        <w:bidi w:val="0"/>
        <w:rPr>
          <w:rFonts w:hint="default"/>
          <w:lang w:val="en-US" w:eastAsia="zh-CN"/>
        </w:rPr>
      </w:pPr>
      <w:r>
        <w:rPr>
          <w:rFonts w:hint="default"/>
          <w:lang w:val="en-US" w:eastAsia="zh-CN"/>
        </w:rPr>
        <w:t>实时清洗：采用Apache Flink作为流处理引擎，消费Kafka中的实时数据，执行上述分域清洗逻辑，并将结果写回Kafka或直接入库。</w:t>
      </w:r>
    </w:p>
    <w:p w14:paraId="0CBFC3B8">
      <w:pPr>
        <w:pStyle w:val="30"/>
        <w:bidi w:val="0"/>
        <w:rPr>
          <w:rFonts w:hint="default"/>
          <w:lang w:val="en-US" w:eastAsia="zh-CN"/>
        </w:rPr>
      </w:pPr>
      <w:r>
        <w:rPr>
          <w:rFonts w:hint="default"/>
          <w:lang w:val="en-US" w:eastAsia="zh-CN"/>
        </w:rPr>
        <w:t>批量清洗：使用Apache Spark编写清洗作业，处理历史数据或T+1的增量数据，调度依赖Airflow管理。</w:t>
      </w:r>
    </w:p>
    <w:p w14:paraId="78809C11">
      <w:pPr>
        <w:pStyle w:val="30"/>
        <w:bidi w:val="0"/>
        <w:rPr>
          <w:rFonts w:hint="default"/>
          <w:lang w:val="en-US" w:eastAsia="zh-CN"/>
        </w:rPr>
      </w:pPr>
      <w:r>
        <w:rPr>
          <w:rFonts w:hint="default"/>
          <w:lang w:val="en-US" w:eastAsia="zh-CN"/>
        </w:rPr>
        <w:t>规则管理：清洗规则以JSON配置文件形式存储，并通过内部管理界面进行发布、更新与回滚，实现规则与代码解耦。</w:t>
      </w:r>
    </w:p>
    <w:p w14:paraId="0C638413">
      <w:pPr>
        <w:pStyle w:val="30"/>
        <w:bidi w:val="0"/>
        <w:rPr>
          <w:rFonts w:hint="default"/>
          <w:lang w:val="en-US" w:eastAsia="zh-CN"/>
        </w:rPr>
      </w:pPr>
      <w:r>
        <w:rPr>
          <w:rFonts w:hint="default"/>
          <w:lang w:val="en-US" w:eastAsia="zh-CN"/>
        </w:rPr>
        <w:t>监控验证：利用Prometheus收集清洗作业的吞吐量、延迟、错误率等指标，并通过Grafana配置数据质量KPI看板。</w:t>
      </w:r>
    </w:p>
    <w:p w14:paraId="4EAE646C">
      <w:pPr>
        <w:pStyle w:val="29"/>
        <w:bidi w:val="0"/>
        <w:rPr>
          <w:rFonts w:hint="default"/>
          <w:lang w:val="en-US" w:eastAsia="zh-CN"/>
        </w:rPr>
      </w:pPr>
      <w:bookmarkStart w:id="12" w:name="_Toc27465"/>
      <w:r>
        <w:rPr>
          <w:rFonts w:hint="default"/>
          <w:lang w:val="en-US" w:eastAsia="zh-CN"/>
        </w:rPr>
        <w:t>详细实施步骤</w:t>
      </w:r>
      <w:bookmarkEnd w:id="12"/>
    </w:p>
    <w:p w14:paraId="4B843B1E">
      <w:pPr>
        <w:pStyle w:val="31"/>
        <w:bidi w:val="0"/>
        <w:rPr>
          <w:rFonts w:hint="default"/>
          <w:lang w:val="en-US" w:eastAsia="zh-CN"/>
        </w:rPr>
      </w:pPr>
      <w:bookmarkStart w:id="13" w:name="_Toc30357"/>
      <w:r>
        <w:rPr>
          <w:rFonts w:hint="default"/>
          <w:lang w:val="en-US" w:eastAsia="zh-CN"/>
        </w:rPr>
        <w:t>第一阶段：规则设计与环境准备（第1-30天）</w:t>
      </w:r>
      <w:bookmarkEnd w:id="13"/>
    </w:p>
    <w:p w14:paraId="186BB959">
      <w:pPr>
        <w:pStyle w:val="30"/>
        <w:bidi w:val="0"/>
        <w:rPr>
          <w:rFonts w:hint="default"/>
          <w:lang w:val="en-US" w:eastAsia="zh-CN"/>
        </w:rPr>
      </w:pPr>
      <w:r>
        <w:rPr>
          <w:rFonts w:hint="default"/>
          <w:lang w:val="en-US" w:eastAsia="zh-CN"/>
        </w:rPr>
        <w:t>数据源对接：与各设备厂商确认数据接口协议（如GB/T28181、ONVIF、MQTT），完成接入调试。</w:t>
      </w:r>
    </w:p>
    <w:p w14:paraId="0FADCBC3">
      <w:pPr>
        <w:pStyle w:val="30"/>
        <w:bidi w:val="0"/>
        <w:rPr>
          <w:rFonts w:hint="default"/>
          <w:lang w:val="en-US" w:eastAsia="zh-CN"/>
        </w:rPr>
      </w:pPr>
      <w:r>
        <w:rPr>
          <w:rFonts w:hint="default"/>
          <w:lang w:val="en-US" w:eastAsia="zh-CN"/>
        </w:rPr>
        <w:t>规则细化开发：依据《数据清洗策略方案》中的规则设计要点，编写具体的Flink/Spark清洗代码与配置文件。</w:t>
      </w:r>
    </w:p>
    <w:p w14:paraId="259DE7CE">
      <w:pPr>
        <w:pStyle w:val="30"/>
        <w:bidi w:val="0"/>
        <w:rPr>
          <w:rFonts w:hint="default"/>
          <w:lang w:val="en-US" w:eastAsia="zh-CN"/>
        </w:rPr>
      </w:pPr>
      <w:r>
        <w:rPr>
          <w:rFonts w:hint="default"/>
          <w:lang w:val="en-US" w:eastAsia="zh-CN"/>
        </w:rPr>
        <w:t>测试环境部署：搭建与生产环境一致的测试集群，部署清洗程序与相关依赖组件。</w:t>
      </w:r>
    </w:p>
    <w:p w14:paraId="399C2DF9">
      <w:pPr>
        <w:pStyle w:val="30"/>
        <w:bidi w:val="0"/>
        <w:rPr>
          <w:rFonts w:hint="default"/>
          <w:lang w:val="en-US" w:eastAsia="zh-CN"/>
        </w:rPr>
      </w:pPr>
      <w:r>
        <w:rPr>
          <w:rFonts w:hint="default"/>
          <w:lang w:val="en-US" w:eastAsia="zh-CN"/>
        </w:rPr>
        <w:t>交付物：《详细数据清洗规则说明书》、《测试环境部署报告》。</w:t>
      </w:r>
    </w:p>
    <w:p w14:paraId="63227500">
      <w:pPr>
        <w:pStyle w:val="31"/>
        <w:bidi w:val="0"/>
        <w:rPr>
          <w:rFonts w:hint="default"/>
          <w:lang w:val="en-US" w:eastAsia="zh-CN"/>
        </w:rPr>
      </w:pPr>
      <w:bookmarkStart w:id="14" w:name="_Toc30235"/>
      <w:r>
        <w:rPr>
          <w:rFonts w:hint="default"/>
          <w:lang w:val="en-US" w:eastAsia="zh-CN"/>
        </w:rPr>
        <w:t>第二阶段：集成联调与试运行（第31-60天）</w:t>
      </w:r>
      <w:bookmarkEnd w:id="14"/>
    </w:p>
    <w:p w14:paraId="69B7D515">
      <w:pPr>
        <w:pStyle w:val="30"/>
        <w:bidi w:val="0"/>
        <w:rPr>
          <w:rFonts w:hint="default"/>
          <w:lang w:val="en-US" w:eastAsia="zh-CN"/>
        </w:rPr>
      </w:pPr>
      <w:r>
        <w:rPr>
          <w:rFonts w:hint="default"/>
          <w:lang w:val="en-US" w:eastAsia="zh-CN"/>
        </w:rPr>
        <w:t>模块集成：将清洗模块与视频管理平台、物联网平台、数据中台等进行联调，确保数据通路畅通。</w:t>
      </w:r>
    </w:p>
    <w:p w14:paraId="6B00F28D">
      <w:pPr>
        <w:pStyle w:val="30"/>
        <w:bidi w:val="0"/>
        <w:rPr>
          <w:rFonts w:hint="default"/>
          <w:lang w:val="en-US" w:eastAsia="zh-CN"/>
        </w:rPr>
      </w:pPr>
      <w:r>
        <w:rPr>
          <w:rFonts w:hint="default"/>
          <w:lang w:val="en-US" w:eastAsia="zh-CN"/>
        </w:rPr>
        <w:t>试运行与调优：使用真实历史数据或模拟数据开展至少15天的试运行，监控清洗效果，并根据业务反馈调整规则参数。</w:t>
      </w:r>
    </w:p>
    <w:p w14:paraId="1C0C6DFE">
      <w:pPr>
        <w:pStyle w:val="30"/>
        <w:bidi w:val="0"/>
        <w:rPr>
          <w:rFonts w:hint="default"/>
          <w:lang w:val="en-US" w:eastAsia="zh-CN"/>
        </w:rPr>
      </w:pPr>
      <w:r>
        <w:rPr>
          <w:rFonts w:hint="default"/>
          <w:lang w:val="en-US" w:eastAsia="zh-CN"/>
        </w:rPr>
        <w:t>交付物：《数据清洗模块集成测试报告》、《试运行数据质量分析报告》。</w:t>
      </w:r>
    </w:p>
    <w:p w14:paraId="61A3CDCC">
      <w:pPr>
        <w:pStyle w:val="31"/>
        <w:bidi w:val="0"/>
        <w:rPr>
          <w:rFonts w:hint="default"/>
          <w:lang w:val="en-US" w:eastAsia="zh-CN"/>
        </w:rPr>
      </w:pPr>
      <w:bookmarkStart w:id="15" w:name="_Toc27896"/>
      <w:r>
        <w:rPr>
          <w:rFonts w:hint="default"/>
          <w:lang w:val="en-US" w:eastAsia="zh-CN"/>
        </w:rPr>
        <w:t>第三阶段：全量上线与监控（第61-75天）</w:t>
      </w:r>
      <w:bookmarkEnd w:id="15"/>
    </w:p>
    <w:p w14:paraId="0B639592">
      <w:pPr>
        <w:pStyle w:val="30"/>
        <w:bidi w:val="0"/>
        <w:rPr>
          <w:rFonts w:hint="default"/>
          <w:lang w:val="en-US" w:eastAsia="zh-CN"/>
        </w:rPr>
      </w:pPr>
      <w:r>
        <w:rPr>
          <w:rFonts w:hint="default"/>
          <w:lang w:val="en-US" w:eastAsia="zh-CN"/>
        </w:rPr>
        <w:t>生产环境部署：将经测试验证的清洗程序与配置部署至生产环境。</w:t>
      </w:r>
    </w:p>
    <w:p w14:paraId="3939BFF6">
      <w:pPr>
        <w:pStyle w:val="30"/>
        <w:bidi w:val="0"/>
        <w:rPr>
          <w:rFonts w:hint="default"/>
          <w:lang w:val="en-US" w:eastAsia="zh-CN"/>
        </w:rPr>
      </w:pPr>
      <w:r>
        <w:rPr>
          <w:rFonts w:hint="default"/>
          <w:lang w:val="en-US" w:eastAsia="zh-CN"/>
        </w:rPr>
        <w:t>监控体系启用：全面开启数据质量监控看板与告警，实施7x24小时运行监控。</w:t>
      </w:r>
    </w:p>
    <w:p w14:paraId="77BFD24A">
      <w:pPr>
        <w:pStyle w:val="30"/>
        <w:bidi w:val="0"/>
        <w:rPr>
          <w:rFonts w:hint="default"/>
          <w:lang w:val="en-US" w:eastAsia="zh-CN"/>
        </w:rPr>
      </w:pPr>
      <w:r>
        <w:rPr>
          <w:rFonts w:hint="default"/>
          <w:lang w:val="en-US" w:eastAsia="zh-CN"/>
        </w:rPr>
        <w:t>交付物：《生产环境部署手册》、《数据质量监控看板使用指南》。</w:t>
      </w:r>
    </w:p>
    <w:p w14:paraId="5C6ADBDE">
      <w:pPr>
        <w:pStyle w:val="31"/>
        <w:bidi w:val="0"/>
        <w:rPr>
          <w:rFonts w:hint="default"/>
          <w:lang w:val="en-US" w:eastAsia="zh-CN"/>
        </w:rPr>
      </w:pPr>
      <w:bookmarkStart w:id="16" w:name="_Toc23297"/>
      <w:r>
        <w:rPr>
          <w:rFonts w:hint="default"/>
          <w:lang w:val="en-US" w:eastAsia="zh-CN"/>
        </w:rPr>
        <w:t>第四阶段：验收支持与知识转移（第76-90天）</w:t>
      </w:r>
      <w:bookmarkEnd w:id="16"/>
    </w:p>
    <w:p w14:paraId="49DCC212">
      <w:pPr>
        <w:pStyle w:val="30"/>
        <w:bidi w:val="0"/>
        <w:rPr>
          <w:rFonts w:hint="default"/>
          <w:lang w:val="en-US" w:eastAsia="zh-CN"/>
        </w:rPr>
      </w:pPr>
      <w:r>
        <w:rPr>
          <w:rFonts w:hint="default"/>
          <w:lang w:val="en-US" w:eastAsia="zh-CN"/>
        </w:rPr>
        <w:t>稳定性运行：保障清洗系统连续稳定运行，收集验收所需的KPI数据。</w:t>
      </w:r>
    </w:p>
    <w:p w14:paraId="78AFC9B7">
      <w:pPr>
        <w:pStyle w:val="30"/>
        <w:bidi w:val="0"/>
        <w:rPr>
          <w:rFonts w:hint="default"/>
          <w:lang w:val="en-US" w:eastAsia="zh-CN"/>
        </w:rPr>
      </w:pPr>
      <w:r>
        <w:rPr>
          <w:rFonts w:hint="default"/>
          <w:lang w:val="en-US" w:eastAsia="zh-CN"/>
        </w:rPr>
        <w:t>文档与培训：整理全部实施文档，并向甲方运维团队提供一次系统性的操作培训。</w:t>
      </w:r>
    </w:p>
    <w:p w14:paraId="7413450C">
      <w:pPr>
        <w:pStyle w:val="30"/>
        <w:bidi w:val="0"/>
        <w:rPr>
          <w:rFonts w:hint="default"/>
          <w:lang w:val="en-US" w:eastAsia="zh-CN"/>
        </w:rPr>
      </w:pPr>
      <w:r>
        <w:rPr>
          <w:rFonts w:hint="default"/>
          <w:lang w:val="en-US" w:eastAsia="zh-CN"/>
        </w:rPr>
        <w:t>交付物：《数据清洗系统运维手册》、《培训记录》、《最终数据清洗竣工报告》（含KPI达标证明）。</w:t>
      </w:r>
    </w:p>
    <w:p w14:paraId="1DA50137">
      <w:pPr>
        <w:pStyle w:val="29"/>
        <w:bidi w:val="0"/>
        <w:rPr>
          <w:rFonts w:hint="default"/>
          <w:lang w:val="en-US" w:eastAsia="zh-CN"/>
        </w:rPr>
      </w:pPr>
      <w:bookmarkStart w:id="17" w:name="_Toc16439"/>
      <w:r>
        <w:rPr>
          <w:rFonts w:hint="default"/>
          <w:lang w:val="en-US" w:eastAsia="zh-CN"/>
        </w:rPr>
        <w:t>风险管理与质量控制</w:t>
      </w:r>
      <w:bookmarkEnd w:id="17"/>
    </w:p>
    <w:p w14:paraId="24B6C580">
      <w:pPr>
        <w:pStyle w:val="31"/>
        <w:bidi w:val="0"/>
        <w:rPr>
          <w:rFonts w:hint="default"/>
          <w:lang w:val="en-US" w:eastAsia="zh-CN"/>
        </w:rPr>
      </w:pPr>
      <w:bookmarkStart w:id="18" w:name="_Toc19732"/>
      <w:r>
        <w:rPr>
          <w:rFonts w:hint="default"/>
          <w:lang w:val="en-US" w:eastAsia="zh-CN"/>
        </w:rPr>
        <w:t>关键风险与应对</w:t>
      </w:r>
      <w:bookmarkEnd w:id="18"/>
    </w:p>
    <w:p w14:paraId="1277FC77">
      <w:pPr>
        <w:pStyle w:val="30"/>
        <w:bidi w:val="0"/>
        <w:rPr>
          <w:rFonts w:hint="default"/>
          <w:lang w:val="en-US" w:eastAsia="zh-CN"/>
        </w:rPr>
      </w:pPr>
      <w:r>
        <w:rPr>
          <w:rFonts w:hint="default"/>
          <w:lang w:val="en-US" w:eastAsia="zh-CN"/>
        </w:rPr>
        <w:t>规则逻辑错误风险：所有清洗规则在上线前必须通过业务逻辑评审与数据样本测试，并在测试环境充分验证。变更需走审批流程。</w:t>
      </w:r>
    </w:p>
    <w:p w14:paraId="033BA15E">
      <w:pPr>
        <w:pStyle w:val="30"/>
        <w:bidi w:val="0"/>
        <w:rPr>
          <w:rFonts w:hint="default"/>
          <w:lang w:val="en-US" w:eastAsia="zh-CN"/>
        </w:rPr>
      </w:pPr>
      <w:r>
        <w:rPr>
          <w:rFonts w:hint="default"/>
          <w:lang w:val="en-US" w:eastAsia="zh-CN"/>
        </w:rPr>
        <w:t>数据丢失与失真风险：清洗前对原始数据永久备份（如对象存储），清洗过程中记录完整数据血缘日志，确保任何数据都可追溯还原。</w:t>
      </w:r>
    </w:p>
    <w:p w14:paraId="74DB6F36">
      <w:pPr>
        <w:pStyle w:val="30"/>
        <w:bidi w:val="0"/>
        <w:rPr>
          <w:rFonts w:hint="default"/>
          <w:lang w:val="en-US" w:eastAsia="zh-CN"/>
        </w:rPr>
      </w:pPr>
      <w:r>
        <w:rPr>
          <w:rFonts w:hint="default"/>
          <w:lang w:val="en-US" w:eastAsia="zh-CN"/>
        </w:rPr>
        <w:t>系统性能瓶颈风险：清洗系统需通过至少1.5倍业务峰值压力的性能测试，并设置弹性伸缩策略。</w:t>
      </w:r>
    </w:p>
    <w:p w14:paraId="0AAE2418">
      <w:pPr>
        <w:pStyle w:val="30"/>
        <w:bidi w:val="0"/>
        <w:rPr>
          <w:rFonts w:hint="default"/>
          <w:lang w:val="en-US" w:eastAsia="zh-CN"/>
        </w:rPr>
      </w:pPr>
      <w:r>
        <w:rPr>
          <w:rFonts w:hint="default"/>
          <w:lang w:val="en-US" w:eastAsia="zh-CN"/>
        </w:rPr>
        <w:t>沟通与协作风险：与甲方建立双周例会制度，同步进展、评审报告，并使用协同平台管理数据质量问题工单。</w:t>
      </w:r>
    </w:p>
    <w:p w14:paraId="20CFC8A7">
      <w:pPr>
        <w:pStyle w:val="31"/>
        <w:bidi w:val="0"/>
        <w:rPr>
          <w:rFonts w:hint="default"/>
          <w:lang w:val="en-US" w:eastAsia="zh-CN"/>
        </w:rPr>
      </w:pPr>
      <w:bookmarkStart w:id="19" w:name="_Toc20908"/>
      <w:r>
        <w:rPr>
          <w:rFonts w:hint="default"/>
          <w:lang w:val="en-US" w:eastAsia="zh-CN"/>
        </w:rPr>
        <w:t>质量控制活动</w:t>
      </w:r>
      <w:bookmarkEnd w:id="19"/>
    </w:p>
    <w:p w14:paraId="3A138259">
      <w:pPr>
        <w:pStyle w:val="30"/>
        <w:bidi w:val="0"/>
        <w:rPr>
          <w:rFonts w:hint="default"/>
          <w:lang w:val="en-US" w:eastAsia="zh-CN"/>
        </w:rPr>
      </w:pPr>
      <w:r>
        <w:rPr>
          <w:rFonts w:hint="default"/>
          <w:lang w:val="en-US" w:eastAsia="zh-CN"/>
        </w:rPr>
        <w:t>代码审查：所有清洗脚本与配置变更需经过同级评审。</w:t>
      </w:r>
    </w:p>
    <w:p w14:paraId="28ACD867">
      <w:pPr>
        <w:pStyle w:val="30"/>
        <w:bidi w:val="0"/>
        <w:rPr>
          <w:rFonts w:hint="default"/>
          <w:lang w:val="en-US" w:eastAsia="zh-CN"/>
        </w:rPr>
      </w:pPr>
      <w:r>
        <w:rPr>
          <w:rFonts w:hint="default"/>
          <w:lang w:val="en-US" w:eastAsia="zh-CN"/>
        </w:rPr>
        <w:t>测试用例：为每类清洗规则编写对应的单元测试与集成测试用例。</w:t>
      </w:r>
    </w:p>
    <w:p w14:paraId="2FA3220F">
      <w:pPr>
        <w:pStyle w:val="30"/>
        <w:bidi w:val="0"/>
        <w:rPr>
          <w:rFonts w:hint="default"/>
          <w:lang w:val="en-US" w:eastAsia="zh-CN"/>
        </w:rPr>
      </w:pPr>
      <w:r>
        <w:rPr>
          <w:rFonts w:hint="default"/>
          <w:lang w:val="en-US" w:eastAsia="zh-CN"/>
        </w:rPr>
        <w:t>质量门禁：在CI/CD流水线中设置质量门禁，测试覆盖率、规则验证通过率不达标则禁止发布。</w:t>
      </w:r>
    </w:p>
    <w:p w14:paraId="7C18F15B">
      <w:pPr>
        <w:pStyle w:val="29"/>
        <w:bidi w:val="0"/>
        <w:rPr>
          <w:rFonts w:hint="default"/>
          <w:lang w:val="en-US" w:eastAsia="zh-CN"/>
        </w:rPr>
      </w:pPr>
      <w:bookmarkStart w:id="20" w:name="_Toc24650"/>
      <w:r>
        <w:rPr>
          <w:rFonts w:hint="default"/>
          <w:lang w:val="en-US" w:eastAsia="zh-CN"/>
        </w:rPr>
        <w:t>交付物清单</w:t>
      </w:r>
      <w:bookmarkEnd w:id="20"/>
    </w:p>
    <w:p w14:paraId="50B9AB1F">
      <w:pPr>
        <w:pStyle w:val="30"/>
        <w:bidi w:val="0"/>
        <w:rPr>
          <w:rFonts w:hint="default"/>
          <w:lang w:val="en-US" w:eastAsia="zh-CN"/>
        </w:rPr>
      </w:pPr>
      <w:r>
        <w:rPr>
          <w:rFonts w:hint="default"/>
          <w:lang w:val="en-US" w:eastAsia="zh-CN"/>
        </w:rPr>
        <w:t>本实施方法要求产出以下具体交付物，作为工作完成的证据与后续运维的依据：</w:t>
      </w:r>
    </w:p>
    <w:p w14:paraId="1AF85728">
      <w:pPr>
        <w:pStyle w:val="30"/>
        <w:bidi w:val="0"/>
        <w:rPr>
          <w:rFonts w:hint="default"/>
          <w:lang w:val="en-US" w:eastAsia="zh-CN"/>
        </w:rPr>
      </w:pPr>
      <w:r>
        <w:rPr>
          <w:rFonts w:hint="default"/>
          <w:lang w:val="en-US" w:eastAsia="zh-CN"/>
        </w:rPr>
        <w:t>《详细数据清洗规则说明书》</w:t>
      </w:r>
    </w:p>
    <w:p w14:paraId="28959E60">
      <w:pPr>
        <w:pStyle w:val="30"/>
        <w:bidi w:val="0"/>
        <w:rPr>
          <w:rFonts w:hint="default"/>
          <w:lang w:val="en-US" w:eastAsia="zh-CN"/>
        </w:rPr>
      </w:pPr>
      <w:r>
        <w:rPr>
          <w:rFonts w:hint="default"/>
          <w:lang w:val="en-US" w:eastAsia="zh-CN"/>
        </w:rPr>
        <w:t>《数据清洗模块源代码及配置库》</w:t>
      </w:r>
    </w:p>
    <w:p w14:paraId="196FC92C">
      <w:pPr>
        <w:pStyle w:val="30"/>
        <w:bidi w:val="0"/>
        <w:rPr>
          <w:rFonts w:hint="default"/>
          <w:lang w:val="en-US" w:eastAsia="zh-CN"/>
        </w:rPr>
      </w:pPr>
      <w:r>
        <w:rPr>
          <w:rFonts w:hint="default"/>
          <w:lang w:val="en-US" w:eastAsia="zh-CN"/>
        </w:rPr>
        <w:t>《测试报告》（单元测试、集成测试、性能测试）</w:t>
      </w:r>
    </w:p>
    <w:p w14:paraId="30F9E520">
      <w:pPr>
        <w:pStyle w:val="30"/>
        <w:bidi w:val="0"/>
        <w:rPr>
          <w:rFonts w:hint="default"/>
          <w:lang w:val="en-US" w:eastAsia="zh-CN"/>
        </w:rPr>
      </w:pPr>
      <w:r>
        <w:rPr>
          <w:rFonts w:hint="default"/>
          <w:lang w:val="en-US" w:eastAsia="zh-CN"/>
        </w:rPr>
        <w:t>《生产环境部署与配置文档》</w:t>
      </w:r>
    </w:p>
    <w:p w14:paraId="190E9CDA">
      <w:pPr>
        <w:pStyle w:val="30"/>
        <w:bidi w:val="0"/>
        <w:rPr>
          <w:rFonts w:hint="default"/>
          <w:lang w:val="en-US" w:eastAsia="zh-CN"/>
        </w:rPr>
      </w:pPr>
      <w:r>
        <w:rPr>
          <w:rFonts w:hint="default"/>
          <w:lang w:val="en-US" w:eastAsia="zh-CN"/>
        </w:rPr>
        <w:t>《数据质量监控看板与告警规则说明》</w:t>
      </w:r>
    </w:p>
    <w:p w14:paraId="14CA01B7">
      <w:pPr>
        <w:pStyle w:val="30"/>
        <w:bidi w:val="0"/>
        <w:rPr>
          <w:rFonts w:hint="default"/>
          <w:lang w:val="en-US" w:eastAsia="zh-CN"/>
        </w:rPr>
      </w:pPr>
      <w:r>
        <w:rPr>
          <w:rFonts w:hint="default"/>
          <w:lang w:val="en-US" w:eastAsia="zh-CN"/>
        </w:rPr>
        <w:t>《数据清洗系统运维手册》</w:t>
      </w:r>
    </w:p>
    <w:p w14:paraId="3053F9A0">
      <w:pPr>
        <w:pStyle w:val="30"/>
        <w:bidi w:val="0"/>
        <w:rPr>
          <w:rFonts w:hint="default"/>
          <w:lang w:val="en-US" w:eastAsia="zh-CN"/>
        </w:rPr>
      </w:pPr>
      <w:r>
        <w:rPr>
          <w:rFonts w:hint="default"/>
          <w:lang w:val="en-US" w:eastAsia="zh-CN"/>
        </w:rPr>
        <w:t>《最终数据清洗竣工报告》（必须附有连续15天KPI达标的数据截图与说明）</w:t>
      </w:r>
    </w:p>
    <w:p w14:paraId="77E28CC8">
      <w:pPr>
        <w:pStyle w:val="30"/>
        <w:bidi w:val="0"/>
        <w:rPr>
          <w:rFonts w:hint="default"/>
          <w:lang w:val="en-US" w:eastAsia="zh-CN"/>
        </w:rPr>
      </w:pPr>
      <w:r>
        <w:rPr>
          <w:rFonts w:hint="default"/>
          <w:lang w:val="en-US" w:eastAsia="zh-CN"/>
        </w:rPr>
        <w:t>附件：</w:t>
      </w:r>
    </w:p>
    <w:p w14:paraId="2721FEA5">
      <w:pPr>
        <w:pStyle w:val="30"/>
        <w:bidi w:val="0"/>
        <w:rPr>
          <w:rFonts w:hint="default"/>
          <w:lang w:val="en-US" w:eastAsia="zh-CN"/>
        </w:rPr>
      </w:pPr>
      <w:r>
        <w:rPr>
          <w:rFonts w:hint="default"/>
          <w:lang w:val="en-US" w:eastAsia="zh-CN"/>
        </w:rPr>
        <w:t>数据清洗规则配置文件示例（JSON格式）</w:t>
      </w:r>
    </w:p>
    <w:p w14:paraId="0187C413">
      <w:pPr>
        <w:pStyle w:val="30"/>
        <w:bidi w:val="0"/>
        <w:rPr>
          <w:rFonts w:hint="default"/>
          <w:lang w:val="en-US" w:eastAsia="zh-CN"/>
        </w:rPr>
      </w:pPr>
      <w:r>
        <w:rPr>
          <w:rFonts w:hint="default"/>
          <w:lang w:val="en-US" w:eastAsia="zh-CN"/>
        </w:rPr>
        <w:t>数据血缘日志记录格式说明</w:t>
      </w:r>
    </w:p>
    <w:p w14:paraId="201A2A0C">
      <w:pPr>
        <w:pStyle w:val="30"/>
        <w:bidi w:val="0"/>
        <w:rPr>
          <w:rFonts w:hint="default"/>
          <w:lang w:val="en-US" w:eastAsia="zh-CN"/>
        </w:rPr>
      </w:pPr>
      <w:r>
        <w:rPr>
          <w:rFonts w:hint="default"/>
          <w:lang w:val="en-US" w:eastAsia="zh-CN"/>
        </w:rPr>
        <w:t>数据质量告警工单模板</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1AFA7">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58479D"/>
    <w:rsid w:val="01D86637"/>
    <w:rsid w:val="02427F54"/>
    <w:rsid w:val="031C251B"/>
    <w:rsid w:val="058368B9"/>
    <w:rsid w:val="064249C6"/>
    <w:rsid w:val="072C3D74"/>
    <w:rsid w:val="08005BE4"/>
    <w:rsid w:val="08167EB9"/>
    <w:rsid w:val="09212671"/>
    <w:rsid w:val="09B23C11"/>
    <w:rsid w:val="0B6E5916"/>
    <w:rsid w:val="0CAF268A"/>
    <w:rsid w:val="0CFA3905"/>
    <w:rsid w:val="0E8A515C"/>
    <w:rsid w:val="10C303F0"/>
    <w:rsid w:val="10EA0134"/>
    <w:rsid w:val="12807BD4"/>
    <w:rsid w:val="13AD44C3"/>
    <w:rsid w:val="17A103C5"/>
    <w:rsid w:val="18CE20EA"/>
    <w:rsid w:val="19CC03D7"/>
    <w:rsid w:val="1F5A6485"/>
    <w:rsid w:val="20D612DC"/>
    <w:rsid w:val="224327D3"/>
    <w:rsid w:val="25A27A61"/>
    <w:rsid w:val="25F018F1"/>
    <w:rsid w:val="2A13795C"/>
    <w:rsid w:val="2E5A09CB"/>
    <w:rsid w:val="30D00355"/>
    <w:rsid w:val="346314E0"/>
    <w:rsid w:val="34E940DB"/>
    <w:rsid w:val="35F5260C"/>
    <w:rsid w:val="3B7F12F6"/>
    <w:rsid w:val="3C074E88"/>
    <w:rsid w:val="3E8D5AD7"/>
    <w:rsid w:val="43B92ECB"/>
    <w:rsid w:val="45613EF5"/>
    <w:rsid w:val="45703A5D"/>
    <w:rsid w:val="49E54A1A"/>
    <w:rsid w:val="4ACD3918"/>
    <w:rsid w:val="4B40277F"/>
    <w:rsid w:val="4C6D519A"/>
    <w:rsid w:val="4DB36BDD"/>
    <w:rsid w:val="55CF6591"/>
    <w:rsid w:val="5A3A1294"/>
    <w:rsid w:val="5D58117B"/>
    <w:rsid w:val="5DC12D72"/>
    <w:rsid w:val="60C969EB"/>
    <w:rsid w:val="61A66D2D"/>
    <w:rsid w:val="62AE40EB"/>
    <w:rsid w:val="63161C90"/>
    <w:rsid w:val="65426E7E"/>
    <w:rsid w:val="65F454A3"/>
    <w:rsid w:val="672030DD"/>
    <w:rsid w:val="68E819D9"/>
    <w:rsid w:val="6B9B1092"/>
    <w:rsid w:val="6CA9147F"/>
    <w:rsid w:val="6CDF4B2B"/>
    <w:rsid w:val="6D1014FE"/>
    <w:rsid w:val="6E166FE8"/>
    <w:rsid w:val="6E23799F"/>
    <w:rsid w:val="6E922B12"/>
    <w:rsid w:val="6F885CC3"/>
    <w:rsid w:val="6FD20CED"/>
    <w:rsid w:val="724C2FD8"/>
    <w:rsid w:val="72B666A4"/>
    <w:rsid w:val="73C372CA"/>
    <w:rsid w:val="75504B8E"/>
    <w:rsid w:val="775D3592"/>
    <w:rsid w:val="781225CE"/>
    <w:rsid w:val="7A11081C"/>
    <w:rsid w:val="7AF1471D"/>
    <w:rsid w:val="7E751B09"/>
    <w:rsid w:val="7EF70770"/>
    <w:rsid w:val="7F421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table" w:customStyle="1" w:styleId="41">
    <w:name w:val="Table Normal"/>
    <w:semiHidden/>
    <w:unhideWhenUsed/>
    <w:qFormat/>
    <w:uiPriority w:val="0"/>
    <w:tblPr>
      <w:tblCellMar>
        <w:top w:w="0" w:type="dxa"/>
        <w:left w:w="0" w:type="dxa"/>
        <w:bottom w:w="0" w:type="dxa"/>
        <w:right w:w="0" w:type="dxa"/>
      </w:tblCellMar>
    </w:tbl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2874</Words>
  <Characters>3179</Characters>
  <Lines>0</Lines>
  <Paragraphs>0</Paragraphs>
  <TotalTime>0</TotalTime>
  <ScaleCrop>false</ScaleCrop>
  <LinksUpToDate>false</LinksUpToDate>
  <CharactersWithSpaces>3263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2025-12-27T15:22:38Z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78F87D90A6104B6BA50514B6C3A65098_13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