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2CC98">
      <w:pPr>
        <w:keepNext w:val="0"/>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cs="宋体"/>
          <w:b/>
          <w:bCs/>
          <w:spacing w:val="-3"/>
          <w:sz w:val="24"/>
          <w:szCs w:val="24"/>
          <w:lang w:val="en-US" w:eastAsia="zh-CN"/>
        </w:rPr>
        <w:t>10</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4</w:t>
      </w:r>
    </w:p>
    <w:p w14:paraId="77C30696">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713C4EC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12875"/>
      <w:r>
        <w:rPr>
          <w:rFonts w:hint="eastAsia"/>
          <w:lang w:val="en-US" w:eastAsia="zh-CN"/>
        </w:rPr>
        <w:t>青岛瑞源工程集团有限公司</w:t>
      </w:r>
      <w:bookmarkEnd w:id="0"/>
    </w:p>
    <w:p w14:paraId="0B67E186">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黑体"/>
          <w:sz w:val="48"/>
          <w:szCs w:val="48"/>
          <w:lang w:val="en-US" w:eastAsia="zh-CN"/>
        </w:rPr>
      </w:pPr>
      <w:bookmarkStart w:id="1" w:name="_Toc18660"/>
      <w:r>
        <w:rPr>
          <w:rFonts w:hint="eastAsia"/>
          <w:sz w:val="48"/>
          <w:szCs w:val="48"/>
          <w:lang w:val="en-US" w:eastAsia="zh-CN"/>
        </w:rPr>
        <w:t>烟台林海嵎峡田综合体智慧农业大数据平台建设项目数据质量验收测试报告</w:t>
      </w:r>
      <w:bookmarkEnd w:id="1"/>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7461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vAlign w:val="top"/>
          </w:tcPr>
          <w:p w14:paraId="6CE09374">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编制人:</w:t>
            </w:r>
            <w:r>
              <w:rPr>
                <w:rFonts w:hint="eastAsia" w:ascii="宋体" w:hAnsi="宋体" w:eastAsia="宋体" w:cs="宋体"/>
                <w:sz w:val="21"/>
                <w:szCs w:val="21"/>
                <w:u w:val="single"/>
                <w:lang w:val="en-US" w:eastAsia="zh-CN"/>
              </w:rPr>
              <w:t>张秀才</w:t>
            </w:r>
          </w:p>
        </w:tc>
        <w:tc>
          <w:tcPr>
            <w:tcW w:w="4261" w:type="dxa"/>
            <w:vAlign w:val="top"/>
          </w:tcPr>
          <w:p w14:paraId="211AEDD5">
            <w:pPr>
              <w:pStyle w:val="30"/>
              <w:keepNext w:val="0"/>
              <w:keepLines w:val="0"/>
              <w:pageBreakBefore w:val="0"/>
              <w:widowControl w:val="0"/>
              <w:kinsoku w:val="0"/>
              <w:wordWrap/>
              <w:overflowPunct/>
              <w:topLinePunct w:val="0"/>
              <w:autoSpaceDE w:val="0"/>
              <w:autoSpaceDN w:val="0"/>
              <w:bidi w:val="0"/>
              <w:adjustRightInd w:val="0"/>
              <w:snapToGrid w:val="0"/>
              <w:ind w:firstLine="420" w:firstLineChars="200"/>
              <w:textAlignment w:val="baseline"/>
              <w:rPr>
                <w:rFonts w:hint="default"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编制时间:</w:t>
            </w:r>
            <w:r>
              <w:rPr>
                <w:rFonts w:hint="default" w:ascii="Arial" w:hAnsi="Arial" w:eastAsia="宋体" w:cs="Arial"/>
                <w:sz w:val="21"/>
                <w:szCs w:val="21"/>
                <w:u w:val="single"/>
                <w:lang w:val="en-US" w:eastAsia="zh-CN"/>
              </w:rPr>
              <w:t>2025.</w:t>
            </w:r>
            <w:r>
              <w:rPr>
                <w:rFonts w:hint="eastAsia" w:cs="Arial"/>
                <w:sz w:val="21"/>
                <w:szCs w:val="21"/>
                <w:u w:val="single"/>
                <w:lang w:val="en-US" w:eastAsia="zh-CN"/>
              </w:rPr>
              <w:t>04</w:t>
            </w:r>
            <w:r>
              <w:rPr>
                <w:rFonts w:hint="default" w:ascii="Arial" w:hAnsi="Arial" w:eastAsia="宋体" w:cs="Arial"/>
                <w:sz w:val="21"/>
                <w:szCs w:val="21"/>
                <w:u w:val="single"/>
                <w:lang w:val="en-US" w:eastAsia="zh-CN"/>
              </w:rPr>
              <w:t>.</w:t>
            </w:r>
            <w:r>
              <w:rPr>
                <w:rFonts w:hint="eastAsia" w:cs="Arial"/>
                <w:sz w:val="21"/>
                <w:szCs w:val="21"/>
                <w:u w:val="single"/>
                <w:lang w:val="en-US" w:eastAsia="zh-CN"/>
              </w:rPr>
              <w:t>20</w:t>
            </w:r>
          </w:p>
        </w:tc>
      </w:tr>
      <w:tr w14:paraId="39F27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vAlign w:val="top"/>
          </w:tcPr>
          <w:p w14:paraId="1B148679">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napToGrid w:val="0"/>
                <w:color w:val="000000"/>
                <w:kern w:val="0"/>
                <w:sz w:val="21"/>
                <w:szCs w:val="21"/>
                <w:vertAlign w:val="baseline"/>
                <w:lang w:val="en-US" w:eastAsia="zh-CN" w:bidi="ar-SA"/>
              </w:rPr>
            </w:pPr>
            <w:r>
              <w:rPr>
                <w:rFonts w:hint="eastAsia" w:ascii="宋体" w:hAnsi="宋体" w:eastAsia="宋体" w:cs="宋体"/>
                <w:sz w:val="21"/>
                <w:szCs w:val="21"/>
                <w:lang w:val="en-US" w:eastAsia="zh-CN"/>
              </w:rPr>
              <w:t>审核人:</w:t>
            </w:r>
            <w:r>
              <w:rPr>
                <w:rFonts w:hint="eastAsia" w:ascii="宋体" w:hAnsi="宋体" w:eastAsia="宋体" w:cs="宋体"/>
                <w:sz w:val="21"/>
                <w:szCs w:val="21"/>
                <w:u w:val="single"/>
                <w:lang w:val="en-US" w:eastAsia="zh-CN"/>
              </w:rPr>
              <w:t>宋振</w:t>
            </w:r>
          </w:p>
        </w:tc>
        <w:tc>
          <w:tcPr>
            <w:tcW w:w="4261" w:type="dxa"/>
            <w:shd w:val="clear" w:color="auto" w:fill="auto"/>
            <w:vAlign w:val="top"/>
          </w:tcPr>
          <w:p w14:paraId="4EB6BEBB">
            <w:pPr>
              <w:pStyle w:val="30"/>
              <w:keepNext w:val="0"/>
              <w:keepLines w:val="0"/>
              <w:pageBreakBefore w:val="0"/>
              <w:widowControl w:val="0"/>
              <w:kinsoku w:val="0"/>
              <w:wordWrap/>
              <w:overflowPunct/>
              <w:topLinePunct w:val="0"/>
              <w:autoSpaceDE w:val="0"/>
              <w:autoSpaceDN w:val="0"/>
              <w:bidi w:val="0"/>
              <w:adjustRightInd w:val="0"/>
              <w:snapToGrid w:val="0"/>
              <w:ind w:firstLine="420" w:firstLineChars="200"/>
              <w:textAlignment w:val="baseline"/>
              <w:rPr>
                <w:rFonts w:hint="default" w:ascii="宋体" w:hAnsi="宋体" w:eastAsia="宋体" w:cs="宋体"/>
                <w:snapToGrid w:val="0"/>
                <w:color w:val="000000"/>
                <w:kern w:val="0"/>
                <w:sz w:val="21"/>
                <w:szCs w:val="21"/>
                <w:vertAlign w:val="baseline"/>
                <w:lang w:val="en-US" w:eastAsia="zh-CN" w:bidi="ar-SA"/>
              </w:rPr>
            </w:pPr>
            <w:r>
              <w:rPr>
                <w:rFonts w:hint="eastAsia" w:ascii="宋体" w:hAnsi="宋体" w:eastAsia="宋体" w:cs="宋体"/>
                <w:sz w:val="21"/>
                <w:szCs w:val="21"/>
                <w:lang w:val="en-US" w:eastAsia="zh-CN"/>
              </w:rPr>
              <w:t>编制时间:</w:t>
            </w:r>
            <w:r>
              <w:rPr>
                <w:rFonts w:hint="eastAsia" w:ascii="Arial" w:hAnsi="Arial" w:eastAsia="宋体" w:cs="Arial"/>
                <w:sz w:val="21"/>
                <w:szCs w:val="21"/>
                <w:u w:val="single"/>
                <w:lang w:val="en-US" w:eastAsia="zh-CN"/>
              </w:rPr>
              <w:t>2025.</w:t>
            </w:r>
            <w:r>
              <w:rPr>
                <w:rFonts w:hint="eastAsia" w:cs="Arial"/>
                <w:sz w:val="21"/>
                <w:szCs w:val="21"/>
                <w:u w:val="single"/>
                <w:lang w:val="en-US" w:eastAsia="zh-CN"/>
              </w:rPr>
              <w:t>04</w:t>
            </w:r>
            <w:r>
              <w:rPr>
                <w:rFonts w:hint="eastAsia" w:ascii="Arial" w:hAnsi="Arial" w:eastAsia="宋体" w:cs="Arial"/>
                <w:sz w:val="21"/>
                <w:szCs w:val="21"/>
                <w:u w:val="single"/>
                <w:lang w:val="en-US" w:eastAsia="zh-CN"/>
              </w:rPr>
              <w:t>.20</w:t>
            </w:r>
          </w:p>
        </w:tc>
      </w:tr>
      <w:tr w14:paraId="7503D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vAlign w:val="top"/>
          </w:tcPr>
          <w:p w14:paraId="45FD4534">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批准人:</w:t>
            </w:r>
            <w:r>
              <w:rPr>
                <w:rFonts w:hint="eastAsia" w:ascii="宋体" w:hAnsi="宋体" w:eastAsia="宋体" w:cs="宋体"/>
                <w:sz w:val="21"/>
                <w:szCs w:val="21"/>
                <w:u w:val="single"/>
                <w:lang w:val="en-US" w:eastAsia="zh-CN"/>
              </w:rPr>
              <w:t>于瑞建</w:t>
            </w:r>
          </w:p>
        </w:tc>
        <w:tc>
          <w:tcPr>
            <w:tcW w:w="4261" w:type="dxa"/>
            <w:vAlign w:val="top"/>
          </w:tcPr>
          <w:p w14:paraId="6BEDF1CD">
            <w:pPr>
              <w:pStyle w:val="30"/>
              <w:keepNext w:val="0"/>
              <w:keepLines w:val="0"/>
              <w:pageBreakBefore w:val="0"/>
              <w:widowControl w:val="0"/>
              <w:kinsoku w:val="0"/>
              <w:wordWrap/>
              <w:overflowPunct/>
              <w:topLinePunct w:val="0"/>
              <w:autoSpaceDE w:val="0"/>
              <w:autoSpaceDN w:val="0"/>
              <w:bidi w:val="0"/>
              <w:adjustRightInd w:val="0"/>
              <w:snapToGrid w:val="0"/>
              <w:ind w:firstLine="420" w:firstLineChars="200"/>
              <w:textAlignment w:val="baseline"/>
              <w:rPr>
                <w:rFonts w:hint="default"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审批时间:</w:t>
            </w:r>
            <w:r>
              <w:rPr>
                <w:rFonts w:hint="eastAsia" w:ascii="Arial" w:hAnsi="Arial" w:eastAsia="宋体" w:cs="Arial"/>
                <w:sz w:val="21"/>
                <w:szCs w:val="21"/>
                <w:u w:val="single"/>
                <w:lang w:val="en-US" w:eastAsia="zh-CN"/>
              </w:rPr>
              <w:t>2025.</w:t>
            </w:r>
            <w:r>
              <w:rPr>
                <w:rFonts w:hint="eastAsia" w:cs="Arial"/>
                <w:sz w:val="21"/>
                <w:szCs w:val="21"/>
                <w:u w:val="single"/>
                <w:lang w:val="en-US" w:eastAsia="zh-CN"/>
              </w:rPr>
              <w:t>04</w:t>
            </w:r>
            <w:r>
              <w:rPr>
                <w:rFonts w:hint="eastAsia" w:ascii="Arial" w:hAnsi="Arial" w:eastAsia="宋体" w:cs="Arial"/>
                <w:sz w:val="21"/>
                <w:szCs w:val="21"/>
                <w:u w:val="single"/>
                <w:lang w:val="en-US" w:eastAsia="zh-CN"/>
              </w:rPr>
              <w:t>.20</w:t>
            </w:r>
          </w:p>
        </w:tc>
      </w:tr>
    </w:tbl>
    <w:p w14:paraId="47BC4BB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32A15E00">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5E8808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vAlign w:val="top"/>
          </w:tcPr>
          <w:p w14:paraId="224256A6">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607" w:leftChars="0"/>
              <w:textAlignment w:val="baseline"/>
              <w:rPr>
                <w:rFonts w:hint="eastAsia" w:ascii="宋体" w:hAnsi="宋体" w:eastAsia="宋体" w:cs="宋体"/>
                <w:sz w:val="20"/>
                <w:szCs w:val="20"/>
              </w:rPr>
            </w:pPr>
            <w:r>
              <w:rPr>
                <w:rFonts w:ascii="宋体" w:hAnsi="宋体" w:eastAsia="宋体" w:cs="宋体"/>
                <w:spacing w:val="-14"/>
                <w:sz w:val="20"/>
                <w:szCs w:val="20"/>
              </w:rPr>
              <w:t>日期</w:t>
            </w:r>
          </w:p>
        </w:tc>
        <w:tc>
          <w:tcPr>
            <w:tcW w:w="919" w:type="dxa"/>
            <w:vAlign w:val="top"/>
          </w:tcPr>
          <w:p w14:paraId="3DB8BCFB">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253" w:leftChars="0"/>
              <w:textAlignment w:val="baseline"/>
              <w:rPr>
                <w:rFonts w:hint="eastAsia" w:ascii="宋体" w:hAnsi="宋体" w:eastAsia="宋体" w:cs="宋体"/>
                <w:sz w:val="20"/>
                <w:szCs w:val="20"/>
              </w:rPr>
            </w:pPr>
            <w:r>
              <w:rPr>
                <w:rFonts w:ascii="宋体" w:hAnsi="宋体" w:eastAsia="宋体" w:cs="宋体"/>
                <w:spacing w:val="4"/>
                <w:sz w:val="20"/>
                <w:szCs w:val="20"/>
              </w:rPr>
              <w:t>版本</w:t>
            </w:r>
          </w:p>
        </w:tc>
        <w:tc>
          <w:tcPr>
            <w:tcW w:w="2289" w:type="dxa"/>
            <w:vAlign w:val="top"/>
          </w:tcPr>
          <w:p w14:paraId="38A6E24B">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730" w:leftChars="0"/>
              <w:textAlignment w:val="baseline"/>
              <w:rPr>
                <w:rFonts w:hint="eastAsia" w:ascii="宋体" w:hAnsi="宋体" w:eastAsia="宋体" w:cs="宋体"/>
                <w:sz w:val="20"/>
                <w:szCs w:val="20"/>
              </w:rPr>
            </w:pPr>
            <w:r>
              <w:rPr>
                <w:rFonts w:ascii="宋体" w:hAnsi="宋体" w:eastAsia="宋体" w:cs="宋体"/>
                <w:spacing w:val="7"/>
                <w:sz w:val="20"/>
                <w:szCs w:val="20"/>
              </w:rPr>
              <w:t>变更说明</w:t>
            </w:r>
          </w:p>
        </w:tc>
        <w:tc>
          <w:tcPr>
            <w:tcW w:w="1148" w:type="dxa"/>
            <w:vAlign w:val="top"/>
          </w:tcPr>
          <w:p w14:paraId="340D4E5A">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310" w:leftChars="0"/>
              <w:textAlignment w:val="baseline"/>
              <w:rPr>
                <w:rFonts w:hint="eastAsia" w:ascii="宋体" w:hAnsi="宋体" w:eastAsia="宋体" w:cs="宋体"/>
                <w:sz w:val="20"/>
                <w:szCs w:val="20"/>
              </w:rPr>
            </w:pPr>
            <w:r>
              <w:rPr>
                <w:rFonts w:ascii="宋体" w:hAnsi="宋体" w:eastAsia="宋体" w:cs="宋体"/>
                <w:spacing w:val="6"/>
                <w:sz w:val="20"/>
                <w:szCs w:val="20"/>
              </w:rPr>
              <w:t>编写人</w:t>
            </w:r>
          </w:p>
        </w:tc>
        <w:tc>
          <w:tcPr>
            <w:tcW w:w="1150" w:type="dxa"/>
            <w:vAlign w:val="top"/>
          </w:tcPr>
          <w:p w14:paraId="6DF2BA31">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310" w:leftChars="0"/>
              <w:textAlignment w:val="baseline"/>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vAlign w:val="top"/>
          </w:tcPr>
          <w:p w14:paraId="2B2F8CAB">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311" w:leftChars="0"/>
              <w:textAlignment w:val="baseline"/>
              <w:rPr>
                <w:rFonts w:hint="eastAsia" w:ascii="宋体" w:hAnsi="宋体" w:eastAsia="宋体" w:cs="宋体"/>
                <w:sz w:val="20"/>
                <w:szCs w:val="20"/>
              </w:rPr>
            </w:pPr>
            <w:r>
              <w:rPr>
                <w:rFonts w:ascii="宋体" w:hAnsi="宋体" w:eastAsia="宋体" w:cs="宋体"/>
                <w:spacing w:val="7"/>
                <w:sz w:val="20"/>
                <w:szCs w:val="20"/>
              </w:rPr>
              <w:t>批准人</w:t>
            </w:r>
          </w:p>
        </w:tc>
      </w:tr>
      <w:tr w14:paraId="4F3AE8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vAlign w:val="top"/>
          </w:tcPr>
          <w:p w14:paraId="3BE38528">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260" w:leftChars="0"/>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4</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w:t>
            </w:r>
            <w:r>
              <w:rPr>
                <w:rFonts w:hint="eastAsia" w:ascii="宋体" w:hAnsi="宋体" w:eastAsia="宋体" w:cs="宋体"/>
                <w:spacing w:val="3"/>
                <w:position w:val="1"/>
                <w:sz w:val="20"/>
                <w:szCs w:val="20"/>
                <w:lang w:val="en-US" w:eastAsia="zh-CN"/>
              </w:rPr>
              <w:t>0</w:t>
            </w:r>
          </w:p>
        </w:tc>
        <w:tc>
          <w:tcPr>
            <w:tcW w:w="919" w:type="dxa"/>
            <w:vAlign w:val="top"/>
          </w:tcPr>
          <w:p w14:paraId="6848C7F4">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248" w:leftChars="0"/>
              <w:textAlignment w:val="baseline"/>
              <w:rPr>
                <w:rFonts w:hint="eastAsia" w:ascii="宋体" w:hAnsi="宋体" w:eastAsia="宋体" w:cs="宋体"/>
                <w:sz w:val="20"/>
                <w:szCs w:val="20"/>
              </w:rPr>
            </w:pPr>
            <w:r>
              <w:rPr>
                <w:rFonts w:ascii="宋体" w:hAnsi="宋体" w:eastAsia="宋体" w:cs="宋体"/>
                <w:spacing w:val="4"/>
                <w:position w:val="1"/>
                <w:sz w:val="20"/>
                <w:szCs w:val="20"/>
              </w:rPr>
              <w:t>V1.0</w:t>
            </w:r>
          </w:p>
        </w:tc>
        <w:tc>
          <w:tcPr>
            <w:tcW w:w="2289" w:type="dxa"/>
            <w:vAlign w:val="top"/>
          </w:tcPr>
          <w:p w14:paraId="3D028502">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114" w:leftChars="0"/>
              <w:jc w:val="center"/>
              <w:textAlignment w:val="baseline"/>
              <w:rPr>
                <w:rFonts w:hint="eastAsia" w:ascii="宋体" w:hAnsi="宋体" w:eastAsia="宋体" w:cs="宋体"/>
                <w:sz w:val="20"/>
                <w:szCs w:val="20"/>
              </w:rPr>
            </w:pPr>
            <w:r>
              <w:rPr>
                <w:rFonts w:ascii="宋体" w:hAnsi="宋体" w:eastAsia="宋体" w:cs="宋体"/>
                <w:spacing w:val="7"/>
                <w:sz w:val="20"/>
                <w:szCs w:val="20"/>
              </w:rPr>
              <w:t>新建文档</w:t>
            </w:r>
          </w:p>
        </w:tc>
        <w:tc>
          <w:tcPr>
            <w:tcW w:w="1148" w:type="dxa"/>
            <w:vAlign w:val="top"/>
          </w:tcPr>
          <w:p w14:paraId="502B36EB">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313" w:leftChars="0"/>
              <w:textAlignment w:val="baseline"/>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vAlign w:val="top"/>
          </w:tcPr>
          <w:p w14:paraId="12CA7A9B">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313" w:leftChars="0"/>
              <w:textAlignment w:val="baseline"/>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66001429"/>
                <w:lang w:val="en-US" w:eastAsia="zh-CN"/>
              </w:rPr>
              <w:t>宋</w:t>
            </w:r>
            <w:r>
              <w:rPr>
                <w:rFonts w:hint="eastAsia" w:ascii="宋体" w:hAnsi="宋体" w:eastAsia="宋体" w:cs="宋体"/>
                <w:spacing w:val="0"/>
                <w:kern w:val="0"/>
                <w:sz w:val="20"/>
                <w:szCs w:val="20"/>
                <w:fitText w:val="600" w:id="66001429"/>
                <w:lang w:val="en-US" w:eastAsia="zh-CN"/>
              </w:rPr>
              <w:t>振</w:t>
            </w:r>
          </w:p>
        </w:tc>
        <w:tc>
          <w:tcPr>
            <w:tcW w:w="1240" w:type="dxa"/>
            <w:vAlign w:val="top"/>
          </w:tcPr>
          <w:p w14:paraId="32D9F5D2">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314" w:leftChars="0"/>
              <w:textAlignment w:val="baseline"/>
              <w:rPr>
                <w:rFonts w:hint="eastAsia"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663A2D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4BB8C4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6F2482D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244404B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2768AAAE">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313"/>
              <w:textAlignment w:val="baseline"/>
            </w:pPr>
          </w:p>
        </w:tc>
        <w:tc>
          <w:tcPr>
            <w:tcW w:w="1150" w:type="dxa"/>
          </w:tcPr>
          <w:p w14:paraId="4CE3D63C">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313"/>
              <w:textAlignment w:val="baseline"/>
            </w:pPr>
          </w:p>
        </w:tc>
        <w:tc>
          <w:tcPr>
            <w:tcW w:w="1240" w:type="dxa"/>
          </w:tcPr>
          <w:p w14:paraId="7E1FC4F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B0B07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A258E9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5089333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11C2762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7FEECA1A">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314"/>
              <w:textAlignment w:val="baseline"/>
            </w:pPr>
          </w:p>
        </w:tc>
        <w:tc>
          <w:tcPr>
            <w:tcW w:w="1150" w:type="dxa"/>
          </w:tcPr>
          <w:p w14:paraId="00FE9E5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314"/>
              <w:textAlignment w:val="baseline"/>
            </w:pPr>
          </w:p>
        </w:tc>
        <w:tc>
          <w:tcPr>
            <w:tcW w:w="1240" w:type="dxa"/>
          </w:tcPr>
          <w:p w14:paraId="0CD3CD4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21431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1658BCB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4E288D8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492341D9">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0352853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50" w:type="dxa"/>
          </w:tcPr>
          <w:p w14:paraId="57A4D19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40" w:type="dxa"/>
          </w:tcPr>
          <w:p w14:paraId="4877BF5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D72EF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29A9889">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4F99EEE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64DD9FA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585F47D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50" w:type="dxa"/>
          </w:tcPr>
          <w:p w14:paraId="18C0FFB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40" w:type="dxa"/>
          </w:tcPr>
          <w:p w14:paraId="447B29D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00A24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4113E8A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07BDA60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187036B9">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3F055DA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50" w:type="dxa"/>
          </w:tcPr>
          <w:p w14:paraId="6A7422F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40" w:type="dxa"/>
          </w:tcPr>
          <w:p w14:paraId="7693E88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2BFB8F84">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841FD3C">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A6179B9">
          <w:pPr>
            <w:pStyle w:val="16"/>
            <w:tabs>
              <w:tab w:val="right" w:leader="dot" w:pos="8306"/>
            </w:tabs>
          </w:pPr>
          <w:bookmarkStart w:id="16" w:name="_GoBack"/>
          <w:bookmarkEnd w:id="16"/>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_Toc12875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_Toc12875 \h </w:instrText>
          </w:r>
          <w:r>
            <w:fldChar w:fldCharType="separate"/>
          </w:r>
          <w:r>
            <w:t>1</w:t>
          </w:r>
          <w:r>
            <w:fldChar w:fldCharType="end"/>
          </w:r>
          <w:r>
            <w:rPr>
              <w:rFonts w:hint="eastAsia" w:ascii="宋体" w:hAnsi="宋体" w:eastAsia="宋体" w:cs="宋体"/>
              <w:szCs w:val="24"/>
            </w:rPr>
            <w:fldChar w:fldCharType="end"/>
          </w:r>
        </w:p>
        <w:p w14:paraId="433820B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_Toc18660 </w:instrText>
          </w:r>
          <w:r>
            <w:rPr>
              <w:rFonts w:hint="eastAsia" w:ascii="宋体" w:hAnsi="宋体" w:eastAsia="宋体" w:cs="宋体"/>
              <w:szCs w:val="24"/>
            </w:rPr>
            <w:fldChar w:fldCharType="separate"/>
          </w:r>
          <w:r>
            <w:rPr>
              <w:rFonts w:hint="eastAsia"/>
              <w:szCs w:val="48"/>
              <w:lang w:val="en-US" w:eastAsia="zh-CN"/>
            </w:rPr>
            <w:t>烟台林海嵎峡田综合体智慧农业大数据平台建设项目数据质量验收测试报告</w:t>
          </w:r>
          <w:r>
            <w:tab/>
          </w:r>
          <w:r>
            <w:fldChar w:fldCharType="begin"/>
          </w:r>
          <w:r>
            <w:instrText xml:space="preserve"> PAGEREF _Toc18660 \h </w:instrText>
          </w:r>
          <w:r>
            <w:fldChar w:fldCharType="separate"/>
          </w:r>
          <w:r>
            <w:t>1</w:t>
          </w:r>
          <w:r>
            <w:fldChar w:fldCharType="end"/>
          </w:r>
          <w:r>
            <w:rPr>
              <w:rFonts w:hint="eastAsia" w:ascii="宋体" w:hAnsi="宋体" w:eastAsia="宋体" w:cs="宋体"/>
              <w:szCs w:val="24"/>
            </w:rPr>
            <w:fldChar w:fldCharType="end"/>
          </w:r>
        </w:p>
        <w:p w14:paraId="3B4B73E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_Toc2811 </w:instrText>
          </w:r>
          <w:r>
            <w:rPr>
              <w:rFonts w:hint="eastAsia" w:ascii="宋体" w:hAnsi="宋体" w:eastAsia="宋体" w:cs="宋体"/>
              <w:szCs w:val="24"/>
            </w:rPr>
            <w:fldChar w:fldCharType="separate"/>
          </w:r>
          <w:r>
            <w:rPr>
              <w:rFonts w:hint="default"/>
              <w:lang w:val="en-US" w:eastAsia="zh-CN"/>
            </w:rPr>
            <w:t>1. 验收测试概述</w:t>
          </w:r>
          <w:r>
            <w:tab/>
          </w:r>
          <w:r>
            <w:fldChar w:fldCharType="begin"/>
          </w:r>
          <w:r>
            <w:instrText xml:space="preserve"> PAGEREF _Toc2811 \h </w:instrText>
          </w:r>
          <w:r>
            <w:fldChar w:fldCharType="separate"/>
          </w:r>
          <w:r>
            <w:t>4</w:t>
          </w:r>
          <w:r>
            <w:fldChar w:fldCharType="end"/>
          </w:r>
          <w:r>
            <w:rPr>
              <w:rFonts w:hint="eastAsia" w:ascii="宋体" w:hAnsi="宋体" w:eastAsia="宋体" w:cs="宋体"/>
              <w:szCs w:val="24"/>
            </w:rPr>
            <w:fldChar w:fldCharType="end"/>
          </w:r>
        </w:p>
        <w:p w14:paraId="238CDA8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_Toc17793 </w:instrText>
          </w:r>
          <w:r>
            <w:rPr>
              <w:rFonts w:hint="eastAsia" w:ascii="宋体" w:hAnsi="宋体" w:eastAsia="宋体" w:cs="宋体"/>
              <w:szCs w:val="24"/>
            </w:rPr>
            <w:fldChar w:fldCharType="separate"/>
          </w:r>
          <w:r>
            <w:rPr>
              <w:rFonts w:hint="default"/>
              <w:lang w:val="en-US" w:eastAsia="zh-CN"/>
            </w:rPr>
            <w:t>1.1. 测试目的</w:t>
          </w:r>
          <w:r>
            <w:tab/>
          </w:r>
          <w:r>
            <w:fldChar w:fldCharType="begin"/>
          </w:r>
          <w:r>
            <w:instrText xml:space="preserve"> PAGEREF _Toc17793 \h </w:instrText>
          </w:r>
          <w:r>
            <w:fldChar w:fldCharType="separate"/>
          </w:r>
          <w:r>
            <w:t>4</w:t>
          </w:r>
          <w:r>
            <w:fldChar w:fldCharType="end"/>
          </w:r>
          <w:r>
            <w:rPr>
              <w:rFonts w:hint="eastAsia" w:ascii="宋体" w:hAnsi="宋体" w:eastAsia="宋体" w:cs="宋体"/>
              <w:szCs w:val="24"/>
            </w:rPr>
            <w:fldChar w:fldCharType="end"/>
          </w:r>
        </w:p>
        <w:p w14:paraId="422EEB9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_Toc7233 </w:instrText>
          </w:r>
          <w:r>
            <w:rPr>
              <w:rFonts w:hint="eastAsia" w:ascii="宋体" w:hAnsi="宋体" w:eastAsia="宋体" w:cs="宋体"/>
              <w:szCs w:val="24"/>
            </w:rPr>
            <w:fldChar w:fldCharType="separate"/>
          </w:r>
          <w:r>
            <w:rPr>
              <w:rFonts w:hint="default"/>
              <w:lang w:val="en-US" w:eastAsia="zh-CN"/>
            </w:rPr>
            <w:t>1.2. 测试范围</w:t>
          </w:r>
          <w:r>
            <w:tab/>
          </w:r>
          <w:r>
            <w:fldChar w:fldCharType="begin"/>
          </w:r>
          <w:r>
            <w:instrText xml:space="preserve"> PAGEREF _Toc7233 \h </w:instrText>
          </w:r>
          <w:r>
            <w:fldChar w:fldCharType="separate"/>
          </w:r>
          <w:r>
            <w:t>4</w:t>
          </w:r>
          <w:r>
            <w:fldChar w:fldCharType="end"/>
          </w:r>
          <w:r>
            <w:rPr>
              <w:rFonts w:hint="eastAsia" w:ascii="宋体" w:hAnsi="宋体" w:eastAsia="宋体" w:cs="宋体"/>
              <w:szCs w:val="24"/>
            </w:rPr>
            <w:fldChar w:fldCharType="end"/>
          </w:r>
        </w:p>
        <w:p w14:paraId="29762DC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_Toc11006 </w:instrText>
          </w:r>
          <w:r>
            <w:rPr>
              <w:rFonts w:hint="eastAsia" w:ascii="宋体" w:hAnsi="宋体" w:eastAsia="宋体" w:cs="宋体"/>
              <w:szCs w:val="24"/>
            </w:rPr>
            <w:fldChar w:fldCharType="separate"/>
          </w:r>
          <w:r>
            <w:rPr>
              <w:rFonts w:hint="default"/>
              <w:lang w:val="en-US" w:eastAsia="zh-CN"/>
            </w:rPr>
            <w:t>1.3. 测试方法概述</w:t>
          </w:r>
          <w:r>
            <w:tab/>
          </w:r>
          <w:r>
            <w:fldChar w:fldCharType="begin"/>
          </w:r>
          <w:r>
            <w:instrText xml:space="preserve"> PAGEREF _Toc11006 \h </w:instrText>
          </w:r>
          <w:r>
            <w:fldChar w:fldCharType="separate"/>
          </w:r>
          <w:r>
            <w:t>4</w:t>
          </w:r>
          <w:r>
            <w:fldChar w:fldCharType="end"/>
          </w:r>
          <w:r>
            <w:rPr>
              <w:rFonts w:hint="eastAsia" w:ascii="宋体" w:hAnsi="宋体" w:eastAsia="宋体" w:cs="宋体"/>
              <w:szCs w:val="24"/>
            </w:rPr>
            <w:fldChar w:fldCharType="end"/>
          </w:r>
        </w:p>
        <w:p w14:paraId="6008BD0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_Toc5117 </w:instrText>
          </w:r>
          <w:r>
            <w:rPr>
              <w:rFonts w:hint="eastAsia" w:ascii="宋体" w:hAnsi="宋体" w:eastAsia="宋体" w:cs="宋体"/>
              <w:szCs w:val="24"/>
            </w:rPr>
            <w:fldChar w:fldCharType="separate"/>
          </w:r>
          <w:r>
            <w:rPr>
              <w:rFonts w:hint="default"/>
              <w:lang w:val="en-US" w:eastAsia="zh-CN"/>
            </w:rPr>
            <w:t>2. 测试环境与过程</w:t>
          </w:r>
          <w:r>
            <w:tab/>
          </w:r>
          <w:r>
            <w:fldChar w:fldCharType="begin"/>
          </w:r>
          <w:r>
            <w:instrText xml:space="preserve"> PAGEREF _Toc5117 \h </w:instrText>
          </w:r>
          <w:r>
            <w:fldChar w:fldCharType="separate"/>
          </w:r>
          <w:r>
            <w:t>4</w:t>
          </w:r>
          <w:r>
            <w:fldChar w:fldCharType="end"/>
          </w:r>
          <w:r>
            <w:rPr>
              <w:rFonts w:hint="eastAsia" w:ascii="宋体" w:hAnsi="宋体" w:eastAsia="宋体" w:cs="宋体"/>
              <w:szCs w:val="24"/>
            </w:rPr>
            <w:fldChar w:fldCharType="end"/>
          </w:r>
        </w:p>
        <w:p w14:paraId="607594D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_Toc28365 </w:instrText>
          </w:r>
          <w:r>
            <w:rPr>
              <w:rFonts w:hint="eastAsia" w:ascii="宋体" w:hAnsi="宋体" w:eastAsia="宋体" w:cs="宋体"/>
              <w:szCs w:val="24"/>
            </w:rPr>
            <w:fldChar w:fldCharType="separate"/>
          </w:r>
          <w:r>
            <w:rPr>
              <w:rFonts w:hint="default"/>
              <w:lang w:val="en-US" w:eastAsia="zh-CN"/>
            </w:rPr>
            <w:t>2.1. 测试环境</w:t>
          </w:r>
          <w:r>
            <w:tab/>
          </w:r>
          <w:r>
            <w:fldChar w:fldCharType="begin"/>
          </w:r>
          <w:r>
            <w:instrText xml:space="preserve"> PAGEREF _Toc28365 \h </w:instrText>
          </w:r>
          <w:r>
            <w:fldChar w:fldCharType="separate"/>
          </w:r>
          <w:r>
            <w:t>4</w:t>
          </w:r>
          <w:r>
            <w:fldChar w:fldCharType="end"/>
          </w:r>
          <w:r>
            <w:rPr>
              <w:rFonts w:hint="eastAsia" w:ascii="宋体" w:hAnsi="宋体" w:eastAsia="宋体" w:cs="宋体"/>
              <w:szCs w:val="24"/>
            </w:rPr>
            <w:fldChar w:fldCharType="end"/>
          </w:r>
        </w:p>
        <w:p w14:paraId="54552A8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_Toc23721 </w:instrText>
          </w:r>
          <w:r>
            <w:rPr>
              <w:rFonts w:hint="eastAsia" w:ascii="宋体" w:hAnsi="宋体" w:eastAsia="宋体" w:cs="宋体"/>
              <w:szCs w:val="24"/>
            </w:rPr>
            <w:fldChar w:fldCharType="separate"/>
          </w:r>
          <w:r>
            <w:rPr>
              <w:rFonts w:hint="default"/>
              <w:lang w:val="en-US" w:eastAsia="zh-CN"/>
            </w:rPr>
            <w:t>3. 测试结果与KPI达成分析</w:t>
          </w:r>
          <w:r>
            <w:tab/>
          </w:r>
          <w:r>
            <w:fldChar w:fldCharType="begin"/>
          </w:r>
          <w:r>
            <w:instrText xml:space="preserve"> PAGEREF _Toc23721 \h </w:instrText>
          </w:r>
          <w:r>
            <w:fldChar w:fldCharType="separate"/>
          </w:r>
          <w:r>
            <w:t>5</w:t>
          </w:r>
          <w:r>
            <w:fldChar w:fldCharType="end"/>
          </w:r>
          <w:r>
            <w:rPr>
              <w:rFonts w:hint="eastAsia" w:ascii="宋体" w:hAnsi="宋体" w:eastAsia="宋体" w:cs="宋体"/>
              <w:szCs w:val="24"/>
            </w:rPr>
            <w:fldChar w:fldCharType="end"/>
          </w:r>
        </w:p>
        <w:p w14:paraId="649077A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_Toc6434 </w:instrText>
          </w:r>
          <w:r>
            <w:rPr>
              <w:rFonts w:hint="eastAsia" w:ascii="宋体" w:hAnsi="宋体" w:eastAsia="宋体" w:cs="宋体"/>
              <w:szCs w:val="24"/>
            </w:rPr>
            <w:fldChar w:fldCharType="separate"/>
          </w:r>
          <w:r>
            <w:rPr>
              <w:rFonts w:hint="default"/>
              <w:lang w:val="en-US" w:eastAsia="zh-CN"/>
            </w:rPr>
            <w:t>3.1. KPI-01：视频图像域 - AI识别准确率</w:t>
          </w:r>
          <w:r>
            <w:tab/>
          </w:r>
          <w:r>
            <w:fldChar w:fldCharType="begin"/>
          </w:r>
          <w:r>
            <w:instrText xml:space="preserve"> PAGEREF _Toc6434 \h </w:instrText>
          </w:r>
          <w:r>
            <w:fldChar w:fldCharType="separate"/>
          </w:r>
          <w:r>
            <w:t>5</w:t>
          </w:r>
          <w:r>
            <w:fldChar w:fldCharType="end"/>
          </w:r>
          <w:r>
            <w:rPr>
              <w:rFonts w:hint="eastAsia" w:ascii="宋体" w:hAnsi="宋体" w:eastAsia="宋体" w:cs="宋体"/>
              <w:szCs w:val="24"/>
            </w:rPr>
            <w:fldChar w:fldCharType="end"/>
          </w:r>
        </w:p>
        <w:p w14:paraId="3E8CECC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_Toc3774 </w:instrText>
          </w:r>
          <w:r>
            <w:rPr>
              <w:rFonts w:hint="eastAsia" w:ascii="宋体" w:hAnsi="宋体" w:eastAsia="宋体" w:cs="宋体"/>
              <w:szCs w:val="24"/>
            </w:rPr>
            <w:fldChar w:fldCharType="separate"/>
          </w:r>
          <w:r>
            <w:rPr>
              <w:rFonts w:hint="default"/>
              <w:lang w:val="en-US" w:eastAsia="zh-CN"/>
            </w:rPr>
            <w:t>3.2. KPI-02：物联网感知域 - 关键传感器数据采集率</w:t>
          </w:r>
          <w:r>
            <w:tab/>
          </w:r>
          <w:r>
            <w:fldChar w:fldCharType="begin"/>
          </w:r>
          <w:r>
            <w:instrText xml:space="preserve"> PAGEREF _Toc3774 \h </w:instrText>
          </w:r>
          <w:r>
            <w:fldChar w:fldCharType="separate"/>
          </w:r>
          <w:r>
            <w:t>5</w:t>
          </w:r>
          <w:r>
            <w:fldChar w:fldCharType="end"/>
          </w:r>
          <w:r>
            <w:rPr>
              <w:rFonts w:hint="eastAsia" w:ascii="宋体" w:hAnsi="宋体" w:eastAsia="宋体" w:cs="宋体"/>
              <w:szCs w:val="24"/>
            </w:rPr>
            <w:fldChar w:fldCharType="end"/>
          </w:r>
        </w:p>
        <w:p w14:paraId="53B483B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_Toc13635 </w:instrText>
          </w:r>
          <w:r>
            <w:rPr>
              <w:rFonts w:hint="eastAsia" w:ascii="宋体" w:hAnsi="宋体" w:eastAsia="宋体" w:cs="宋体"/>
              <w:szCs w:val="24"/>
            </w:rPr>
            <w:fldChar w:fldCharType="separate"/>
          </w:r>
          <w:r>
            <w:rPr>
              <w:rFonts w:hint="default"/>
              <w:lang w:val="en-US" w:eastAsia="zh-CN"/>
            </w:rPr>
            <w:t>3.3. KPI-03：业务应用域 - 核心业务数据交付准时率</w:t>
          </w:r>
          <w:r>
            <w:tab/>
          </w:r>
          <w:r>
            <w:fldChar w:fldCharType="begin"/>
          </w:r>
          <w:r>
            <w:instrText xml:space="preserve"> PAGEREF _Toc13635 \h </w:instrText>
          </w:r>
          <w:r>
            <w:fldChar w:fldCharType="separate"/>
          </w:r>
          <w:r>
            <w:t>6</w:t>
          </w:r>
          <w:r>
            <w:fldChar w:fldCharType="end"/>
          </w:r>
          <w:r>
            <w:rPr>
              <w:rFonts w:hint="eastAsia" w:ascii="宋体" w:hAnsi="宋体" w:eastAsia="宋体" w:cs="宋体"/>
              <w:szCs w:val="24"/>
            </w:rPr>
            <w:fldChar w:fldCharType="end"/>
          </w:r>
        </w:p>
        <w:p w14:paraId="41D10B9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_Toc21078 </w:instrText>
          </w:r>
          <w:r>
            <w:rPr>
              <w:rFonts w:hint="eastAsia" w:ascii="宋体" w:hAnsi="宋体" w:eastAsia="宋体" w:cs="宋体"/>
              <w:szCs w:val="24"/>
            </w:rPr>
            <w:fldChar w:fldCharType="separate"/>
          </w:r>
          <w:r>
            <w:rPr>
              <w:rFonts w:hint="default"/>
              <w:lang w:val="en-US" w:eastAsia="zh-CN"/>
            </w:rPr>
            <w:t>3.4. KPI-04：系统过程域 - 数据清洗任务执行成功率</w:t>
          </w:r>
          <w:r>
            <w:tab/>
          </w:r>
          <w:r>
            <w:fldChar w:fldCharType="begin"/>
          </w:r>
          <w:r>
            <w:instrText xml:space="preserve"> PAGEREF _Toc21078 \h </w:instrText>
          </w:r>
          <w:r>
            <w:fldChar w:fldCharType="separate"/>
          </w:r>
          <w:r>
            <w:t>6</w:t>
          </w:r>
          <w:r>
            <w:fldChar w:fldCharType="end"/>
          </w:r>
          <w:r>
            <w:rPr>
              <w:rFonts w:hint="eastAsia" w:ascii="宋体" w:hAnsi="宋体" w:eastAsia="宋体" w:cs="宋体"/>
              <w:szCs w:val="24"/>
            </w:rPr>
            <w:fldChar w:fldCharType="end"/>
          </w:r>
        </w:p>
        <w:p w14:paraId="1B59D90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_Toc5413 </w:instrText>
          </w:r>
          <w:r>
            <w:rPr>
              <w:rFonts w:hint="eastAsia" w:ascii="宋体" w:hAnsi="宋体" w:eastAsia="宋体" w:cs="宋体"/>
              <w:szCs w:val="24"/>
            </w:rPr>
            <w:fldChar w:fldCharType="separate"/>
          </w:r>
          <w:r>
            <w:rPr>
              <w:rFonts w:hint="default"/>
              <w:lang w:val="en-US" w:eastAsia="zh-CN"/>
            </w:rPr>
            <w:t>3.5. KPI-05：系统过程域 - 端到端数据清洗延迟（P95）</w:t>
          </w:r>
          <w:r>
            <w:tab/>
          </w:r>
          <w:r>
            <w:fldChar w:fldCharType="begin"/>
          </w:r>
          <w:r>
            <w:instrText xml:space="preserve"> PAGEREF _Toc5413 \h </w:instrText>
          </w:r>
          <w:r>
            <w:fldChar w:fldCharType="separate"/>
          </w:r>
          <w:r>
            <w:t>6</w:t>
          </w:r>
          <w:r>
            <w:fldChar w:fldCharType="end"/>
          </w:r>
          <w:r>
            <w:rPr>
              <w:rFonts w:hint="eastAsia" w:ascii="宋体" w:hAnsi="宋体" w:eastAsia="宋体" w:cs="宋体"/>
              <w:szCs w:val="24"/>
            </w:rPr>
            <w:fldChar w:fldCharType="end"/>
          </w:r>
        </w:p>
        <w:p w14:paraId="181AC53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_Toc23245 </w:instrText>
          </w:r>
          <w:r>
            <w:rPr>
              <w:rFonts w:hint="eastAsia" w:ascii="宋体" w:hAnsi="宋体" w:eastAsia="宋体" w:cs="宋体"/>
              <w:szCs w:val="24"/>
            </w:rPr>
            <w:fldChar w:fldCharType="separate"/>
          </w:r>
          <w:r>
            <w:rPr>
              <w:rFonts w:hint="default"/>
              <w:lang w:val="en-US" w:eastAsia="zh-CN"/>
            </w:rPr>
            <w:t>4. 测试结论</w:t>
          </w:r>
          <w:r>
            <w:tab/>
          </w:r>
          <w:r>
            <w:fldChar w:fldCharType="begin"/>
          </w:r>
          <w:r>
            <w:instrText xml:space="preserve"> PAGEREF _Toc23245 \h </w:instrText>
          </w:r>
          <w:r>
            <w:fldChar w:fldCharType="separate"/>
          </w:r>
          <w:r>
            <w:t>6</w:t>
          </w:r>
          <w:r>
            <w:fldChar w:fldCharType="end"/>
          </w:r>
          <w:r>
            <w:rPr>
              <w:rFonts w:hint="eastAsia" w:ascii="宋体" w:hAnsi="宋体" w:eastAsia="宋体" w:cs="宋体"/>
              <w:szCs w:val="24"/>
            </w:rPr>
            <w:fldChar w:fldCharType="end"/>
          </w:r>
        </w:p>
        <w:p w14:paraId="2498897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_Toc2826 </w:instrText>
          </w:r>
          <w:r>
            <w:rPr>
              <w:rFonts w:hint="eastAsia" w:ascii="宋体" w:hAnsi="宋体" w:eastAsia="宋体" w:cs="宋体"/>
              <w:szCs w:val="24"/>
            </w:rPr>
            <w:fldChar w:fldCharType="separate"/>
          </w:r>
          <w:r>
            <w:rPr>
              <w:rFonts w:hint="default"/>
              <w:lang w:val="en-US" w:eastAsia="zh-CN"/>
            </w:rPr>
            <w:t>5. 附件</w:t>
          </w:r>
          <w:r>
            <w:tab/>
          </w:r>
          <w:r>
            <w:fldChar w:fldCharType="begin"/>
          </w:r>
          <w:r>
            <w:instrText xml:space="preserve"> PAGEREF _Toc2826 \h </w:instrText>
          </w:r>
          <w:r>
            <w:fldChar w:fldCharType="separate"/>
          </w:r>
          <w:r>
            <w:t>7</w:t>
          </w:r>
          <w:r>
            <w:fldChar w:fldCharType="end"/>
          </w:r>
          <w:r>
            <w:rPr>
              <w:rFonts w:hint="eastAsia" w:ascii="宋体" w:hAnsi="宋体" w:eastAsia="宋体" w:cs="宋体"/>
              <w:szCs w:val="24"/>
            </w:rPr>
            <w:fldChar w:fldCharType="end"/>
          </w:r>
        </w:p>
        <w:p w14:paraId="3860014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89DD95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2638566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2811"/>
      <w:r>
        <w:rPr>
          <w:rFonts w:hint="default"/>
          <w:lang w:val="en-US" w:eastAsia="zh-CN"/>
        </w:rPr>
        <w:t>验收测试概述</w:t>
      </w:r>
      <w:bookmarkEnd w:id="2"/>
    </w:p>
    <w:p w14:paraId="0F2B033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7793"/>
      <w:r>
        <w:rPr>
          <w:rFonts w:hint="default"/>
          <w:lang w:val="en-US" w:eastAsia="zh-CN"/>
        </w:rPr>
        <w:t>测试目的</w:t>
      </w:r>
      <w:bookmarkEnd w:id="3"/>
    </w:p>
    <w:p w14:paraId="600A27A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报告旨在依据项目《数据清洗策略需求分析报告》中约定的数据质量关键绩效指标（KPI），对数据清洗系统的实施效果进行正式、客观的验收测试。通过连续15天的稳定性监测与抽样验证，确认数据清洗成果是否达到合同及方案要求的质量标准，为项目最终验收提供决定性依据。</w:t>
      </w:r>
    </w:p>
    <w:p w14:paraId="76AD303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7233"/>
      <w:r>
        <w:rPr>
          <w:rFonts w:hint="default"/>
          <w:lang w:val="en-US" w:eastAsia="zh-CN"/>
        </w:rPr>
        <w:t>测试范围</w:t>
      </w:r>
      <w:bookmarkEnd w:id="4"/>
    </w:p>
    <w:p w14:paraId="27ABDFD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本次验收测试覆盖《需求分析报告》中定义的四大数据域及其核心KPI：</w:t>
      </w:r>
    </w:p>
    <w:p w14:paraId="5AF5B03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视频与图像数据域：AI识别准确率。</w:t>
      </w:r>
    </w:p>
    <w:p w14:paraId="7E43A8D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物联网感知数据域：关键传感器数据采集率、数据异常点检出率。</w:t>
      </w:r>
    </w:p>
    <w:p w14:paraId="4CFAC38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业务与应用数据域：核心业务数据交付准时率。</w:t>
      </w:r>
    </w:p>
    <w:p w14:paraId="0155164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系统过程域：数据清洗任务执行成功率、端到端数据处理延迟。</w:t>
      </w:r>
    </w:p>
    <w:p w14:paraId="1667D2A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1006"/>
      <w:r>
        <w:rPr>
          <w:rFonts w:hint="default"/>
          <w:lang w:val="en-US" w:eastAsia="zh-CN"/>
        </w:rPr>
        <w:t>测试方法概述</w:t>
      </w:r>
      <w:bookmarkEnd w:id="5"/>
    </w:p>
    <w:p w14:paraId="2CF22F6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采用 “系统监控数据分析” 与 “业务抽样人工复核” 相结合的方法。</w:t>
      </w:r>
    </w:p>
    <w:p w14:paraId="0141579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系统监控数据分析： 通过部署的数据质量监控平台，持续采集并统计各项KPI的实时数据。</w:t>
      </w:r>
    </w:p>
    <w:p w14:paraId="49DCF76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业务抽样人工复核： 针对“AI识别准确率”等需业务判定的指标，在测试周期内按日随机抽样，由甲方业务人员与测试人员共同进行人工复核确认。</w:t>
      </w:r>
    </w:p>
    <w:p w14:paraId="6FFE2B2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5117"/>
      <w:r>
        <w:rPr>
          <w:rFonts w:hint="default"/>
          <w:lang w:val="en-US" w:eastAsia="zh-CN"/>
        </w:rPr>
        <w:t>测试环境与过程</w:t>
      </w:r>
      <w:bookmarkEnd w:id="6"/>
    </w:p>
    <w:p w14:paraId="1ECDDA0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8365"/>
      <w:r>
        <w:rPr>
          <w:rFonts w:hint="default"/>
          <w:lang w:val="en-US" w:eastAsia="zh-CN"/>
        </w:rPr>
        <w:t>测试环境</w:t>
      </w:r>
      <w:bookmarkEnd w:id="7"/>
    </w:p>
    <w:p w14:paraId="51E340B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生产环境：所有测试均在已正式上线运行的智慧农业大数据平台生产环境中进行。</w:t>
      </w:r>
    </w:p>
    <w:p w14:paraId="7A63BBB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数据范围：测试数据为2025年3月5日至3月19日期间，平台接入的全部真实业务数据。</w:t>
      </w:r>
    </w:p>
    <w:p w14:paraId="290494B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监控工具：基于Prometheus、Grafana及定制化数据质量看板进行指标抓取与可视化。</w:t>
      </w:r>
    </w:p>
    <w:p w14:paraId="4AF340F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2.2 测试过程记录</w:t>
      </w:r>
    </w:p>
    <w:p w14:paraId="07FAD52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基准确认（3月4日）： 与乙方实施团队共同确认监控平台中各项KPI计算公式与数据来源的准确性。</w:t>
      </w:r>
    </w:p>
    <w:p w14:paraId="7B90159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稳定性监测（3月5日-19日）： 启动连续15天7x24小时不间断监控，每日定时记录各KPI数值，并观察其波动趋势。</w:t>
      </w:r>
    </w:p>
    <w:p w14:paraId="72D60D9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抽样复核（3月10日、15日）： 分别于测试中期及后期，随机抽取共200条AI识别记录（含车牌、人脸）及1000条传感器数据，由甲方指定人员进行人工复核。</w:t>
      </w:r>
    </w:p>
    <w:p w14:paraId="33773D4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异常记录与核查： 测试期间共记录到3次瞬时告警，均经双方技术人员现场排查，确认为短暂网络抖动所致，已排除系统性问题。</w:t>
      </w:r>
    </w:p>
    <w:p w14:paraId="77D14B8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3721"/>
      <w:r>
        <w:rPr>
          <w:rFonts w:hint="default"/>
          <w:lang w:val="en-US" w:eastAsia="zh-CN"/>
        </w:rPr>
        <w:t>测试结果与KPI达成分析</w:t>
      </w:r>
      <w:bookmarkEnd w:id="8"/>
    </w:p>
    <w:p w14:paraId="2B13149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以下为连续15天测试周期内，各项关键KPI的最终测量结果与验收标准的对比分析。</w:t>
      </w:r>
    </w:p>
    <w:p w14:paraId="4A9E77C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6434"/>
      <w:r>
        <w:rPr>
          <w:rFonts w:hint="default"/>
          <w:lang w:val="en-US" w:eastAsia="zh-CN"/>
        </w:rPr>
        <w:t>KPI-01：视频图像域 - AI识别准确率</w:t>
      </w:r>
      <w:bookmarkEnd w:id="9"/>
    </w:p>
    <w:p w14:paraId="32C79B6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验收标准： ≥ 95%</w:t>
      </w:r>
    </w:p>
    <w:p w14:paraId="4816484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测试方法： 系统日志统计结合人工抽样复核。随机抽取200条AI识别记录，由人工比对原始视频/图片进行验证。</w:t>
      </w:r>
    </w:p>
    <w:p w14:paraId="45748EC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测量结果： 正确识别记录为 192条，准确率计算为 96.0%。</w:t>
      </w:r>
    </w:p>
    <w:p w14:paraId="7CBCCEE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结论： ✔ 达标</w:t>
      </w:r>
    </w:p>
    <w:p w14:paraId="4AD3617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3774"/>
      <w:r>
        <w:rPr>
          <w:rFonts w:hint="default"/>
          <w:lang w:val="en-US" w:eastAsia="zh-CN"/>
        </w:rPr>
        <w:t>KPI-02：物联网感知域 - 关键传感器数据采集率</w:t>
      </w:r>
      <w:bookmarkEnd w:id="10"/>
    </w:p>
    <w:p w14:paraId="5CC7011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验收标准： ≥ 99%</w:t>
      </w:r>
    </w:p>
    <w:p w14:paraId="1ACBAD4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测试方法： 监控平台统计应采集数据点总数与实际成功入库数据点总数。</w:t>
      </w:r>
    </w:p>
    <w:p w14:paraId="12C46DE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测量结果： 平均采集率为 99.4%，最低单日值为 99.1%（3月12日），波动在合理范围。</w:t>
      </w:r>
    </w:p>
    <w:p w14:paraId="74BFAFB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结论： ✔ 达标</w:t>
      </w:r>
    </w:p>
    <w:p w14:paraId="73CA29C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3635"/>
      <w:r>
        <w:rPr>
          <w:rFonts w:hint="default"/>
          <w:lang w:val="en-US" w:eastAsia="zh-CN"/>
        </w:rPr>
        <w:t>KPI-03：业务应用域 - 核心业务数据交付准时率</w:t>
      </w:r>
      <w:bookmarkEnd w:id="11"/>
    </w:p>
    <w:p w14:paraId="039F30F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验收标准： ≥ 99.5%</w:t>
      </w:r>
    </w:p>
    <w:p w14:paraId="4524B11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测试方法： 统计数据清洗完成并写入业务数据库的时间戳，是否晚于约定的服务等级协议（SLA）时间点。</w:t>
      </w:r>
    </w:p>
    <w:p w14:paraId="05C8436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测量结果： 准时交付率为 99.8%，测试期间无超时批次。</w:t>
      </w:r>
    </w:p>
    <w:p w14:paraId="3C75093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结论： ✔ 达标</w:t>
      </w:r>
    </w:p>
    <w:p w14:paraId="4906176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1078"/>
      <w:r>
        <w:rPr>
          <w:rFonts w:hint="default"/>
          <w:lang w:val="en-US" w:eastAsia="zh-CN"/>
        </w:rPr>
        <w:t>KPI-04：系统过程域 - 数据清洗任务执行成功率</w:t>
      </w:r>
      <w:bookmarkEnd w:id="12"/>
    </w:p>
    <w:p w14:paraId="790718B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验收标准： ≥ 99.9%</w:t>
      </w:r>
    </w:p>
    <w:p w14:paraId="284CB86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测试方法： 监控Airflow调度平台任务日志，统计成功执行任务数与总调度任务数。</w:t>
      </w:r>
    </w:p>
    <w:p w14:paraId="2DB8D70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测量结果： 任务成功率为 100%。</w:t>
      </w:r>
    </w:p>
    <w:p w14:paraId="5DF022C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结论： ✔ 超额达标</w:t>
      </w:r>
    </w:p>
    <w:p w14:paraId="060A07F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5413"/>
      <w:r>
        <w:rPr>
          <w:rFonts w:hint="default"/>
          <w:lang w:val="en-US" w:eastAsia="zh-CN"/>
        </w:rPr>
        <w:t>KPI-05：系统过程域 - 端到端数据清洗延迟（P95）</w:t>
      </w:r>
      <w:bookmarkEnd w:id="13"/>
    </w:p>
    <w:p w14:paraId="6AD3603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验收标准： ≤ 10秒</w:t>
      </w:r>
    </w:p>
    <w:p w14:paraId="70580B1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测试方法： 在数据流关键节点注入埋点，计算从数据接入到清洗完成可用的时间分布的95分位数。</w:t>
      </w:r>
    </w:p>
    <w:p w14:paraId="4F37081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测量结果： P95延迟为 8.3秒，平均延迟为 2.1秒。</w:t>
      </w:r>
    </w:p>
    <w:p w14:paraId="5BA67C0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结论： ✔ 达标</w:t>
      </w:r>
    </w:p>
    <w:p w14:paraId="00D8098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3245"/>
      <w:r>
        <w:rPr>
          <w:rFonts w:hint="default"/>
          <w:lang w:val="en-US" w:eastAsia="zh-CN"/>
        </w:rPr>
        <w:t>测试结论</w:t>
      </w:r>
      <w:bookmarkEnd w:id="14"/>
    </w:p>
    <w:p w14:paraId="6566102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根据为期15天的连续稳定性测试与抽样验证，本项目数据清洗系统的输出质量已全面满足并部分优于《数据清洗策略需求分析报告》中规定的所有关键绩效指标（KPI）。</w:t>
      </w:r>
    </w:p>
    <w:p w14:paraId="458772F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结论：数据清洗专项工作成果验收合格。</w:t>
      </w:r>
    </w:p>
    <w:p w14:paraId="2C9C29D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该系统运行稳定，有效提升了平台数据的准确性、完整性与时效性，为上层智慧农业应用、安防预警与运营决策提供了可靠的数据基础，达到了项目建设的预期目标。</w:t>
      </w:r>
    </w:p>
    <w:p w14:paraId="4A531C9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826"/>
      <w:r>
        <w:rPr>
          <w:rFonts w:hint="default"/>
          <w:lang w:val="en-US" w:eastAsia="zh-CN"/>
        </w:rPr>
        <w:t>附件</w:t>
      </w:r>
      <w:bookmarkEnd w:id="15"/>
    </w:p>
    <w:p w14:paraId="647B9142">
      <w:pPr>
        <w:pStyle w:val="3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《数据质量KPI每日监测记录表》</w:t>
      </w:r>
    </w:p>
    <w:p w14:paraId="46D1D4D7">
      <w:pPr>
        <w:pStyle w:val="3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《AI识别准确率抽样复核明细表》</w:t>
      </w:r>
    </w:p>
    <w:p w14:paraId="201A2A0C">
      <w:pPr>
        <w:pStyle w:val="3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《测试期间系统告警及处理记录》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1AFA7">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9FDB4D9"/>
    <w:multiLevelType w:val="singleLevel"/>
    <w:tmpl w:val="99FDB4D9"/>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427F54"/>
    <w:rsid w:val="031C251B"/>
    <w:rsid w:val="036D64BE"/>
    <w:rsid w:val="058368B9"/>
    <w:rsid w:val="064249C6"/>
    <w:rsid w:val="070457D8"/>
    <w:rsid w:val="08005BE4"/>
    <w:rsid w:val="08167EB9"/>
    <w:rsid w:val="09212671"/>
    <w:rsid w:val="09B23C11"/>
    <w:rsid w:val="0B6E5916"/>
    <w:rsid w:val="0CAF268A"/>
    <w:rsid w:val="0CFA3905"/>
    <w:rsid w:val="0E8A515C"/>
    <w:rsid w:val="10C303F0"/>
    <w:rsid w:val="10EA0134"/>
    <w:rsid w:val="124B69B1"/>
    <w:rsid w:val="12807BD4"/>
    <w:rsid w:val="13AD44C3"/>
    <w:rsid w:val="14302302"/>
    <w:rsid w:val="17A103C5"/>
    <w:rsid w:val="18CE20EA"/>
    <w:rsid w:val="19CC03D7"/>
    <w:rsid w:val="1E0A0DF3"/>
    <w:rsid w:val="1E803E86"/>
    <w:rsid w:val="1F5A6485"/>
    <w:rsid w:val="20D612DC"/>
    <w:rsid w:val="20DE6C42"/>
    <w:rsid w:val="20E97879"/>
    <w:rsid w:val="224327D3"/>
    <w:rsid w:val="259326F1"/>
    <w:rsid w:val="25F018F1"/>
    <w:rsid w:val="2A13795C"/>
    <w:rsid w:val="2E5A09CB"/>
    <w:rsid w:val="30D00355"/>
    <w:rsid w:val="346314E0"/>
    <w:rsid w:val="34E940DB"/>
    <w:rsid w:val="34FA62E8"/>
    <w:rsid w:val="35F5260C"/>
    <w:rsid w:val="3A8B353F"/>
    <w:rsid w:val="3B7F12F6"/>
    <w:rsid w:val="3C074E88"/>
    <w:rsid w:val="3E8D5AD7"/>
    <w:rsid w:val="43B92ECB"/>
    <w:rsid w:val="44E5117D"/>
    <w:rsid w:val="45613EF5"/>
    <w:rsid w:val="45703A5D"/>
    <w:rsid w:val="47226FD9"/>
    <w:rsid w:val="49E54A1A"/>
    <w:rsid w:val="4ACD3918"/>
    <w:rsid w:val="4B40277F"/>
    <w:rsid w:val="4E8E5FAD"/>
    <w:rsid w:val="4FB05418"/>
    <w:rsid w:val="589917F1"/>
    <w:rsid w:val="58E14F46"/>
    <w:rsid w:val="59E35B0C"/>
    <w:rsid w:val="5A3A1294"/>
    <w:rsid w:val="5A4C279C"/>
    <w:rsid w:val="5C8B76A2"/>
    <w:rsid w:val="5D58117B"/>
    <w:rsid w:val="5DC12D72"/>
    <w:rsid w:val="5E7D6862"/>
    <w:rsid w:val="60C969EB"/>
    <w:rsid w:val="61A66D2D"/>
    <w:rsid w:val="62AE40EB"/>
    <w:rsid w:val="63161C90"/>
    <w:rsid w:val="63252104"/>
    <w:rsid w:val="65426E7E"/>
    <w:rsid w:val="672030DD"/>
    <w:rsid w:val="68941249"/>
    <w:rsid w:val="68E819D9"/>
    <w:rsid w:val="6B802E06"/>
    <w:rsid w:val="6B9B1092"/>
    <w:rsid w:val="6CA9147F"/>
    <w:rsid w:val="6CDF4B2B"/>
    <w:rsid w:val="6D1014FE"/>
    <w:rsid w:val="6E23799F"/>
    <w:rsid w:val="6E922B12"/>
    <w:rsid w:val="6F885CC3"/>
    <w:rsid w:val="6FD20CED"/>
    <w:rsid w:val="724C2FD8"/>
    <w:rsid w:val="72B666A4"/>
    <w:rsid w:val="73C372CA"/>
    <w:rsid w:val="75504B8E"/>
    <w:rsid w:val="775D3592"/>
    <w:rsid w:val="781225CE"/>
    <w:rsid w:val="7A11081C"/>
    <w:rsid w:val="7AF1471D"/>
    <w:rsid w:val="7E751B09"/>
    <w:rsid w:val="7EF70770"/>
    <w:rsid w:val="7F421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table" w:customStyle="1" w:styleId="41">
    <w:name w:val="Table Normal"/>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1821</Words>
  <Characters>2081</Characters>
  <Lines>0</Lines>
  <Paragraphs>0</Paragraphs>
  <TotalTime>0</TotalTime>
  <ScaleCrop>false</ScaleCrop>
  <LinksUpToDate>false</LinksUpToDate>
  <CharactersWithSpaces>2212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2025-12-27T15:35:08Z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