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2CC98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p w14:paraId="77C30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713C4EC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2104"/>
      <w:r>
        <w:rPr>
          <w:rFonts w:hint="eastAsia"/>
          <w:lang w:val="en-US" w:eastAsia="zh-CN"/>
        </w:rPr>
        <w:t>青岛瑞源工程集团有限公司</w:t>
      </w:r>
      <w:bookmarkEnd w:id="0"/>
    </w:p>
    <w:p w14:paraId="0B67E186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黑体"/>
          <w:sz w:val="44"/>
          <w:szCs w:val="44"/>
          <w:lang w:val="en-US" w:eastAsia="zh-CN"/>
        </w:rPr>
      </w:pPr>
      <w:bookmarkStart w:id="1" w:name="_Toc16616"/>
      <w:r>
        <w:rPr>
          <w:rFonts w:hint="eastAsia"/>
          <w:sz w:val="44"/>
          <w:szCs w:val="44"/>
          <w:lang w:val="en-US" w:eastAsia="zh-CN"/>
        </w:rPr>
        <w:t>烟台林海嵎峡田综合体智慧农业大数据平台建设项目总体实施方案</w:t>
      </w:r>
      <w:bookmarkEnd w:id="1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F8EE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4D29B5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编制人: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4DD0AF4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编制时间:</w:t>
            </w:r>
            <w:r>
              <w:rPr>
                <w:rFonts w:hint="default" w:ascii="Arial" w:hAnsi="Arial" w:eastAsia="宋体" w:cs="Arial"/>
                <w:sz w:val="21"/>
                <w:szCs w:val="21"/>
                <w:u w:val="single"/>
                <w:lang w:val="en-US" w:eastAsia="zh-CN"/>
              </w:rPr>
              <w:t>2025.01.10</w:t>
            </w:r>
          </w:p>
        </w:tc>
      </w:tr>
      <w:tr w14:paraId="53C51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3A4CA4B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审核人: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lang w:val="en-US" w:eastAsia="zh-CN"/>
              </w:rPr>
              <w:t>宋振</w:t>
            </w:r>
          </w:p>
        </w:tc>
        <w:tc>
          <w:tcPr>
            <w:tcW w:w="4261" w:type="dxa"/>
            <w:shd w:val="clear" w:color="auto" w:fill="auto"/>
          </w:tcPr>
          <w:p w14:paraId="02713C8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编制时间:</w:t>
            </w:r>
            <w:r>
              <w:rPr>
                <w:rFonts w:hint="default" w:ascii="Arial" w:hAnsi="Arial" w:eastAsia="宋体" w:cs="Arial"/>
                <w:sz w:val="21"/>
                <w:szCs w:val="21"/>
                <w:u w:val="single"/>
                <w:lang w:val="en-US" w:eastAsia="zh-CN"/>
              </w:rPr>
              <w:t>2025.01.10</w:t>
            </w:r>
          </w:p>
        </w:tc>
      </w:tr>
      <w:tr w14:paraId="216D9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7B69AE1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批准人: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1A238B3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审批时间:</w:t>
            </w:r>
            <w:r>
              <w:rPr>
                <w:rFonts w:hint="default" w:ascii="Arial" w:hAnsi="Arial" w:eastAsia="宋体" w:cs="Arial"/>
                <w:sz w:val="21"/>
                <w:szCs w:val="21"/>
                <w:u w:val="single"/>
                <w:lang w:val="en-US" w:eastAsia="zh-CN"/>
              </w:rPr>
              <w:t>2025.01.10</w:t>
            </w:r>
          </w:p>
        </w:tc>
      </w:tr>
    </w:tbl>
    <w:p w14:paraId="47BC4BB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2A15E0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7BFF6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  <w:vAlign w:val="top"/>
          </w:tcPr>
          <w:p w14:paraId="2A0AC3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607" w:leftChars="0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  <w:vAlign w:val="top"/>
          </w:tcPr>
          <w:p w14:paraId="4E5DFA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253" w:leftChars="0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  <w:vAlign w:val="top"/>
          </w:tcPr>
          <w:p w14:paraId="76862C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730" w:leftChars="0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  <w:vAlign w:val="top"/>
          </w:tcPr>
          <w:p w14:paraId="5E78B0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310" w:leftChars="0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  <w:vAlign w:val="top"/>
          </w:tcPr>
          <w:p w14:paraId="60417F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310" w:leftChars="0"/>
              <w:textAlignment w:val="baseline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  <w:vAlign w:val="top"/>
          </w:tcPr>
          <w:p w14:paraId="01FFF2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311" w:leftChars="0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B2221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  <w:vAlign w:val="top"/>
          </w:tcPr>
          <w:p w14:paraId="630DE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260" w:leftChars="0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919" w:type="dxa"/>
            <w:vAlign w:val="top"/>
          </w:tcPr>
          <w:p w14:paraId="6C69B0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248" w:leftChars="0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  <w:vAlign w:val="top"/>
          </w:tcPr>
          <w:p w14:paraId="433F35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114" w:leftChars="0"/>
              <w:jc w:val="center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510B63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313" w:leftChars="0"/>
              <w:textAlignment w:val="baseline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  <w:vAlign w:val="top"/>
          </w:tcPr>
          <w:p w14:paraId="316EE8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313" w:leftChars="0"/>
              <w:textAlignment w:val="baseline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89953239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89953239"/>
                <w:lang w:val="en-US" w:eastAsia="zh-CN"/>
              </w:rPr>
              <w:t>振</w:t>
            </w:r>
          </w:p>
        </w:tc>
        <w:tc>
          <w:tcPr>
            <w:tcW w:w="1240" w:type="dxa"/>
            <w:vAlign w:val="top"/>
          </w:tcPr>
          <w:p w14:paraId="1F0F14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314" w:leftChars="0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3BEFBB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3A2ED8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19" w:type="dxa"/>
          </w:tcPr>
          <w:p w14:paraId="4FF2906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289" w:type="dxa"/>
          </w:tcPr>
          <w:p w14:paraId="77D076B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8" w:type="dxa"/>
          </w:tcPr>
          <w:p w14:paraId="355B75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313"/>
              <w:textAlignment w:val="baseline"/>
            </w:pPr>
          </w:p>
        </w:tc>
        <w:tc>
          <w:tcPr>
            <w:tcW w:w="1150" w:type="dxa"/>
          </w:tcPr>
          <w:p w14:paraId="25C5A8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313"/>
              <w:textAlignment w:val="baseline"/>
            </w:pPr>
          </w:p>
        </w:tc>
        <w:tc>
          <w:tcPr>
            <w:tcW w:w="1240" w:type="dxa"/>
          </w:tcPr>
          <w:p w14:paraId="483A9FE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19659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22C30E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19" w:type="dxa"/>
          </w:tcPr>
          <w:p w14:paraId="1BC94A6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289" w:type="dxa"/>
          </w:tcPr>
          <w:p w14:paraId="2CF7360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8" w:type="dxa"/>
          </w:tcPr>
          <w:p w14:paraId="55B279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314"/>
              <w:textAlignment w:val="baseline"/>
            </w:pPr>
          </w:p>
        </w:tc>
        <w:tc>
          <w:tcPr>
            <w:tcW w:w="1150" w:type="dxa"/>
          </w:tcPr>
          <w:p w14:paraId="7BCD2E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314"/>
              <w:textAlignment w:val="baseline"/>
            </w:pPr>
          </w:p>
        </w:tc>
        <w:tc>
          <w:tcPr>
            <w:tcW w:w="1240" w:type="dxa"/>
          </w:tcPr>
          <w:p w14:paraId="3DFC626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5E675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FB5F7A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19" w:type="dxa"/>
          </w:tcPr>
          <w:p w14:paraId="68900E4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289" w:type="dxa"/>
          </w:tcPr>
          <w:p w14:paraId="64E82F7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8" w:type="dxa"/>
          </w:tcPr>
          <w:p w14:paraId="5090859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50" w:type="dxa"/>
          </w:tcPr>
          <w:p w14:paraId="51343DB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40" w:type="dxa"/>
          </w:tcPr>
          <w:p w14:paraId="6121B5F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FD01E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6F5B5F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19" w:type="dxa"/>
          </w:tcPr>
          <w:p w14:paraId="264D192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289" w:type="dxa"/>
          </w:tcPr>
          <w:p w14:paraId="0BB4DC4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8" w:type="dxa"/>
          </w:tcPr>
          <w:p w14:paraId="50DE80B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50" w:type="dxa"/>
          </w:tcPr>
          <w:p w14:paraId="2E25669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40" w:type="dxa"/>
          </w:tcPr>
          <w:p w14:paraId="2616BF4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4302D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22488C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19" w:type="dxa"/>
          </w:tcPr>
          <w:p w14:paraId="75049A0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289" w:type="dxa"/>
          </w:tcPr>
          <w:p w14:paraId="155176C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8" w:type="dxa"/>
          </w:tcPr>
          <w:p w14:paraId="74A834C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50" w:type="dxa"/>
          </w:tcPr>
          <w:p w14:paraId="60FAD71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40" w:type="dxa"/>
          </w:tcPr>
          <w:p w14:paraId="168ADDD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2BFB8F8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841FD3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E7DB042">
          <w:pPr>
            <w:pStyle w:val="16"/>
            <w:tabs>
              <w:tab w:val="right" w:leader="dot" w:pos="8306"/>
            </w:tabs>
          </w:pPr>
          <w:bookmarkStart w:id="12" w:name="_GoBack"/>
          <w:bookmarkEnd w:id="12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_Toc2104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9F04B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szCs w:val="44"/>
              <w:lang w:val="en-US" w:eastAsia="zh-CN"/>
            </w:rPr>
            <w:t>烟台林海嵎峡田综合体智慧农业大数据平台建设项目总体实施方案</w:t>
          </w:r>
          <w:r>
            <w:tab/>
          </w:r>
          <w:r>
            <w:fldChar w:fldCharType="begin"/>
          </w:r>
          <w:r>
            <w:instrText xml:space="preserve"> PAGEREF _Toc16616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5AC1D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项目总览</w:t>
          </w:r>
          <w:r>
            <w:tab/>
          </w:r>
          <w:r>
            <w:fldChar w:fldCharType="begin"/>
          </w:r>
          <w:r>
            <w:instrText xml:space="preserve"> PAGEREF _Toc11907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113D0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_Toc3422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项目目标</w:t>
          </w:r>
          <w:r>
            <w:tab/>
          </w:r>
          <w:r>
            <w:fldChar w:fldCharType="begin"/>
          </w:r>
          <w:r>
            <w:instrText xml:space="preserve"> PAGEREF _Toc3422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21EF1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实施范围</w:t>
          </w:r>
          <w:r>
            <w:tab/>
          </w:r>
          <w:r>
            <w:fldChar w:fldCharType="begin"/>
          </w:r>
          <w:r>
            <w:instrText xml:space="preserve"> PAGEREF _Toc28089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83371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项目管理原则</w:t>
          </w:r>
          <w:r>
            <w:tab/>
          </w:r>
          <w:r>
            <w:fldChar w:fldCharType="begin"/>
          </w:r>
          <w:r>
            <w:instrText xml:space="preserve"> PAGEREF _Toc14870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7989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项目组织与职责</w:t>
          </w:r>
          <w:r>
            <w:tab/>
          </w:r>
          <w:r>
            <w:fldChar w:fldCharType="begin"/>
          </w:r>
          <w:r>
            <w:instrText xml:space="preserve"> PAGEREF _Toc8228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9321C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项目实施总体规划</w:t>
          </w:r>
          <w:r>
            <w:tab/>
          </w:r>
          <w:r>
            <w:fldChar w:fldCharType="begin"/>
          </w:r>
          <w:r>
            <w:instrText xml:space="preserve"> PAGEREF _Toc4666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62CE6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风险管理策略</w:t>
          </w:r>
          <w:r>
            <w:tab/>
          </w:r>
          <w:r>
            <w:fldChar w:fldCharType="begin"/>
          </w:r>
          <w:r>
            <w:instrText xml:space="preserve"> PAGEREF _Toc32299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9A323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_Toc9966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质量控制与交付物管理</w:t>
          </w:r>
          <w:r>
            <w:tab/>
          </w:r>
          <w:r>
            <w:fldChar w:fldCharType="begin"/>
          </w:r>
          <w:r>
            <w:instrText xml:space="preserve"> PAGEREF _Toc9966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8F46B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_Toc3407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项目交付成果</w:t>
          </w:r>
          <w:r>
            <w:tab/>
          </w:r>
          <w:r>
            <w:fldChar w:fldCharType="begin"/>
          </w:r>
          <w:r>
            <w:instrText xml:space="preserve"> PAGEREF _Toc3407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F9894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项目收尾与知识转移</w:t>
          </w:r>
          <w:r>
            <w:tab/>
          </w:r>
          <w:r>
            <w:fldChar w:fldCharType="begin"/>
          </w:r>
          <w:r>
            <w:instrText xml:space="preserve"> PAGEREF _Toc1242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60014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095371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6C4B6F0">
      <w:pPr>
        <w:pStyle w:val="29"/>
        <w:bidi w:val="0"/>
        <w:rPr>
          <w:rFonts w:hint="default"/>
          <w:lang w:val="en-US" w:eastAsia="zh-CN"/>
        </w:rPr>
      </w:pPr>
      <w:bookmarkStart w:id="2" w:name="_Toc11907"/>
      <w:r>
        <w:rPr>
          <w:rFonts w:hint="default"/>
          <w:lang w:val="en-US" w:eastAsia="zh-CN"/>
        </w:rPr>
        <w:t>项目总览</w:t>
      </w:r>
      <w:bookmarkEnd w:id="2"/>
    </w:p>
    <w:p w14:paraId="29660E41">
      <w:pPr>
        <w:pStyle w:val="31"/>
        <w:bidi w:val="0"/>
        <w:rPr>
          <w:rFonts w:hint="default"/>
          <w:lang w:val="en-US" w:eastAsia="zh-CN"/>
        </w:rPr>
      </w:pPr>
      <w:bookmarkStart w:id="3" w:name="_Toc3422"/>
      <w:r>
        <w:rPr>
          <w:rFonts w:hint="default"/>
          <w:lang w:val="en-US" w:eastAsia="zh-CN"/>
        </w:rPr>
        <w:t>项目目标</w:t>
      </w:r>
      <w:bookmarkEnd w:id="3"/>
    </w:p>
    <w:p w14:paraId="2D944BA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方案旨在全面指导“烟台林海嵎峡田综合体智慧农业大数据平台建设项目”的实施。我们的核心目标是，在合同约定的90日内，高质量地完成所有硬件设备的供应与安装、软件平台的开发与部署、基础设施的建设以及技术服务工作，最终交付一个稳定、可靠、易用且完全符合合同要求的智慧农业大数据平台，确保项目通过甲方与业主方的正式验收。</w:t>
      </w:r>
    </w:p>
    <w:p w14:paraId="2FB00ED2">
      <w:pPr>
        <w:pStyle w:val="31"/>
        <w:bidi w:val="0"/>
        <w:rPr>
          <w:rFonts w:hint="default"/>
          <w:lang w:val="en-US" w:eastAsia="zh-CN"/>
        </w:rPr>
      </w:pPr>
      <w:bookmarkStart w:id="4" w:name="_Toc28089"/>
      <w:r>
        <w:rPr>
          <w:rFonts w:hint="default"/>
          <w:lang w:val="en-US" w:eastAsia="zh-CN"/>
        </w:rPr>
        <w:t>实施范围</w:t>
      </w:r>
      <w:bookmarkEnd w:id="4"/>
    </w:p>
    <w:p w14:paraId="7ADED45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的实施范围严格遵循主合同及其附件《供货清单》。具体包括：合同所列全部仪器设备和软件产品的采购、运输、安装与调试；智慧农业大数据平台应用软件的定制化开发、部署与培训；相关基础设施的施工建设；以及涵盖数据清洗、系统集成在内的全套技术服务。本方案是指导上述所有工作有序进行的综合性计划。</w:t>
      </w:r>
    </w:p>
    <w:p w14:paraId="1588171A">
      <w:pPr>
        <w:pStyle w:val="31"/>
        <w:bidi w:val="0"/>
        <w:rPr>
          <w:rFonts w:hint="default"/>
          <w:lang w:val="en-US" w:eastAsia="zh-CN"/>
        </w:rPr>
      </w:pPr>
      <w:bookmarkStart w:id="5" w:name="_Toc14870"/>
      <w:r>
        <w:rPr>
          <w:rFonts w:hint="default"/>
          <w:lang w:val="en-US" w:eastAsia="zh-CN"/>
        </w:rPr>
        <w:t>项目管理原则</w:t>
      </w:r>
      <w:bookmarkEnd w:id="5"/>
    </w:p>
    <w:p w14:paraId="4F591E7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本项目将遵循以下核心原则进行管理：</w:t>
      </w:r>
    </w:p>
    <w:p w14:paraId="36DA10C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计划先行，所有行动均以本方案及细化计划为依据；</w:t>
      </w:r>
    </w:p>
    <w:p w14:paraId="6B57971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质量为本，严格执行四级质量检查体系；</w:t>
      </w:r>
    </w:p>
    <w:p w14:paraId="1B3F2CD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风险预控，主动识别并缓解项目潜在风险；四是沟通顺畅，确保内部及与甲方之间信息传递及时、准确。</w:t>
      </w:r>
    </w:p>
    <w:p w14:paraId="561E5269">
      <w:pPr>
        <w:pStyle w:val="29"/>
        <w:bidi w:val="0"/>
        <w:rPr>
          <w:rFonts w:hint="default"/>
          <w:lang w:val="en-US" w:eastAsia="zh-CN"/>
        </w:rPr>
      </w:pPr>
      <w:bookmarkStart w:id="6" w:name="_Toc8228"/>
      <w:r>
        <w:rPr>
          <w:rFonts w:hint="default"/>
          <w:lang w:val="en-US" w:eastAsia="zh-CN"/>
        </w:rPr>
        <w:t>项目组织与职责</w:t>
      </w:r>
      <w:bookmarkEnd w:id="6"/>
    </w:p>
    <w:p w14:paraId="267792F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为保障项目高效推进，我司特成立专职项目团队，组织架构与职责如下：</w:t>
      </w:r>
    </w:p>
    <w:p w14:paraId="414FC1D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项目由公司任命一名资深项目经理全权负责。项目经理下设技术负责人、硬件实施组、软件开发组、数据治理组以及质量与文档组。</w:t>
      </w:r>
    </w:p>
    <w:p w14:paraId="7107AE0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负责人负责审核总体技术架构，解决重大技术难题，并确保各子系统间的兼容性与集成性。硬件实施组负责所有硬件设备的到货验收、安装施工、单体调试及与软件系统的联调配合。软件开发组负责智慧农业大数据平台的需求细化、编码实现、单元测试和用户界面优化。数据治理组作为专项小组，负责依据已获批的《数据清洗策略方案》开展具体的数据清洗规则开发、实施与验证工作。质量与文档组负责制定质量标准、监控过程质量、管理所有项目文档的编制、收集与交付，并确保其符合合同要求。</w:t>
      </w:r>
    </w:p>
    <w:p w14:paraId="5AD99896">
      <w:pPr>
        <w:pStyle w:val="29"/>
        <w:bidi w:val="0"/>
        <w:rPr>
          <w:rFonts w:hint="default"/>
          <w:lang w:val="en-US" w:eastAsia="zh-CN"/>
        </w:rPr>
      </w:pPr>
      <w:bookmarkStart w:id="7" w:name="_Toc4666"/>
      <w:r>
        <w:rPr>
          <w:rFonts w:hint="default"/>
          <w:lang w:val="en-US" w:eastAsia="zh-CN"/>
        </w:rPr>
        <w:t>项目实施总体规划</w:t>
      </w:r>
      <w:bookmarkEnd w:id="7"/>
    </w:p>
    <w:p w14:paraId="46330B3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本项目总工期为90个日历日，自接到甲方开工通知之日起计算。为确保项目可控，我们将整体工作划分为五个 sequential 又彼此衔接的关键阶段。</w:t>
      </w:r>
    </w:p>
    <w:p w14:paraId="082E847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阶段为项目启动与详细设计阶段，计划用时15天。本阶段主要完成团队组建、现场详细勘察、与甲方确认技术细节，并完成所有设备的采购下单工作。关键交付物为《项目启动会纪要》和《详细设计说明书》。</w:t>
      </w:r>
    </w:p>
    <w:p w14:paraId="5FD57C2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阶段为硬件部署与基础设施建设阶段，计划用时35天。本阶段核心任务是完成机房、管线等基础设施建设，并确保所有硬件设备到场、完成甲方协同的到货验收，并进行安装部署与单体上电调试。关键交付物为全套《设备到货验收单》和《安装调试报告》。</w:t>
      </w:r>
    </w:p>
    <w:p w14:paraId="56C8224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阶段为软件开发与数据治理并行阶段，计划用时40天，与第二阶段有部分时间重叠。本阶段软件开发组将进行平台核心功能的迭代开发与测试；同时，数据治理组将同步开展数据清洗规则的编码、测试，并与软件平台进行初步数据对接验证。关键交付物为可演示的《软件系统原型》及《数据清洗模块测试报告》。</w:t>
      </w:r>
    </w:p>
    <w:p w14:paraId="61CB680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阶段为系统集成与联合调试阶段，计划用时10天。此阶段将进行全系统的软硬件集成，开展基于真实业务场景的端到端功能测试、性能测试及用户培训。关键交付物为《系统集成测试报告》和《用户培训记录》。</w:t>
      </w:r>
    </w:p>
    <w:p w14:paraId="45F3159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阶段为试运行与竣工验收阶段，计划用时10天。系统将上线进入全量试运行，进行稳定性与性能考核。同时，项目团队准备全套竣工文档，并全力配合甲方完成最终验收。关键交付物为《系统试运行报告》、《项目竣工文档汇编》及《最终验收证书》。</w:t>
      </w:r>
    </w:p>
    <w:p w14:paraId="0D12BA10">
      <w:pPr>
        <w:pStyle w:val="29"/>
        <w:bidi w:val="0"/>
        <w:rPr>
          <w:rFonts w:hint="default"/>
          <w:lang w:val="en-US" w:eastAsia="zh-CN"/>
        </w:rPr>
      </w:pPr>
      <w:bookmarkStart w:id="8" w:name="_Toc32299"/>
      <w:r>
        <w:rPr>
          <w:rFonts w:hint="default"/>
          <w:lang w:val="en-US" w:eastAsia="zh-CN"/>
        </w:rPr>
        <w:t>风险管理策略</w:t>
      </w:r>
      <w:bookmarkEnd w:id="8"/>
    </w:p>
    <w:p w14:paraId="23F22BD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我们已经识别出本项目可能面临的几类主要风险，并制定了相应的应对策略。</w:t>
      </w:r>
    </w:p>
    <w:p w14:paraId="7543C5B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在技术风险方面，主要风险点在于多品牌、多型号设备的兼容性与集成难度。为此，我们将在设计阶段进行深入的接口协议分析，并要求关键设备供应商提供技术承诺与现场支持预案。</w:t>
      </w:r>
    </w:p>
    <w:p w14:paraId="5891D8B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在进度风险方面，关键设备可能因供应链问题延迟到货。为此，我们将立即启动采购流程，并定期追踪供应商生产与发货状态，同时制定灵活的安装工序，尽可能减少对关键路径的影响。</w:t>
      </w:r>
    </w:p>
    <w:p w14:paraId="070F8B8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在质量风险方面，存在软件功能与用户预期存在偏差的可能。为此，我们将采用敏捷开发模式，定期向甲方展示开发成果并获取反馈，确保开发方向始终正确。</w:t>
      </w:r>
    </w:p>
    <w:p w14:paraId="0101EC0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在沟通风险方面，我们已建立与甲方的固定沟通渠道（周报、周会、里程碑评审），确保信息对称。对于任何可能的范围变更，将严格执行公司内部的《变更管理流程》，评估影响后提交甲方审批。</w:t>
      </w:r>
    </w:p>
    <w:p w14:paraId="4FC5623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对于户外施工可能受恶劣天气影响的外部风险，我们将在施工计划中预留合理缓冲时间，并优先安排室内作业。</w:t>
      </w:r>
    </w:p>
    <w:p w14:paraId="681E01A1">
      <w:pPr>
        <w:pStyle w:val="29"/>
        <w:bidi w:val="0"/>
        <w:rPr>
          <w:rFonts w:hint="default"/>
          <w:lang w:val="en-US" w:eastAsia="zh-CN"/>
        </w:rPr>
      </w:pPr>
      <w:bookmarkStart w:id="9" w:name="_Toc9966"/>
      <w:r>
        <w:rPr>
          <w:rFonts w:hint="default"/>
          <w:lang w:val="en-US" w:eastAsia="zh-CN"/>
        </w:rPr>
        <w:t>质量控制与交付物管理</w:t>
      </w:r>
      <w:bookmarkEnd w:id="9"/>
    </w:p>
    <w:p w14:paraId="0A1566E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我们将执行贯穿项目始终的四级质量控制体系</w:t>
      </w:r>
      <w:r>
        <w:rPr>
          <w:rFonts w:hint="eastAsia"/>
          <w:lang w:val="en-US" w:eastAsia="zh-CN"/>
        </w:rPr>
        <w:t>：</w:t>
      </w:r>
    </w:p>
    <w:p w14:paraId="2C6B1DCF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第一级为供应商与到货自检，确保输入物料合格；</w:t>
      </w:r>
    </w:p>
    <w:p w14:paraId="6AF34487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第二级为过程自检，每个安装或开发步骤完成后由实施人员自查；</w:t>
      </w:r>
    </w:p>
    <w:p w14:paraId="48F41E54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第三级为专项质检，由质量组对关键节点进行独立检查；</w:t>
      </w:r>
    </w:p>
    <w:p w14:paraId="5F0F971B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第四级为交付评审，所有交付物在提交甲方前，均需通过内部评审。</w:t>
      </w:r>
    </w:p>
    <w:p w14:paraId="5E7E0D6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交付物管理是质量管控的核心。我们已经制定了详细的《项目交付物清单》，明确了每一份文档、报告或成果物的产出阶段、责任小组、内容要求及提交时间。所有交付物将由质量与文档组统一归档、版本管理，并在最终验收时形成完整的竣工文档集，随系统一并移交。</w:t>
      </w:r>
    </w:p>
    <w:p w14:paraId="71654DFE">
      <w:pPr>
        <w:pStyle w:val="29"/>
        <w:bidi w:val="0"/>
        <w:rPr>
          <w:rFonts w:hint="default"/>
          <w:lang w:val="en-US" w:eastAsia="zh-CN"/>
        </w:rPr>
      </w:pPr>
      <w:bookmarkStart w:id="10" w:name="_Toc3407"/>
      <w:r>
        <w:rPr>
          <w:rFonts w:hint="default"/>
          <w:lang w:val="en-US" w:eastAsia="zh-CN"/>
        </w:rPr>
        <w:t>项目交付成果</w:t>
      </w:r>
      <w:bookmarkEnd w:id="10"/>
    </w:p>
    <w:p w14:paraId="0E41D6A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根据合同及项目管理要求，我们将向甲方交付包括但不限于以下成果：</w:t>
      </w:r>
    </w:p>
    <w:p w14:paraId="51D77D55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详细的技术设计文档；全套的设备安装与调试记录；</w:t>
      </w:r>
    </w:p>
    <w:p w14:paraId="474832DF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完整的智慧农业大数据平台软件系统及其源代码（根据合同约定）；</w:t>
      </w:r>
    </w:p>
    <w:p w14:paraId="4BA0DE70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专门的数据清洗策略方案、实施记录及质量验证报告；</w:t>
      </w:r>
    </w:p>
    <w:p w14:paraId="64973863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全面的系统测试报告；</w:t>
      </w:r>
    </w:p>
    <w:p w14:paraId="15F60B17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完整的用户操作与运维培训材料；</w:t>
      </w:r>
    </w:p>
    <w:p w14:paraId="15339C36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以及汇总所有技术资料、图纸、手册的《项目竣工文档汇编》。</w:t>
      </w:r>
    </w:p>
    <w:p w14:paraId="032F15F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这些交付物共同构成项目最终验收的实质性基础。</w:t>
      </w:r>
    </w:p>
    <w:p w14:paraId="2AE23706">
      <w:pPr>
        <w:pStyle w:val="29"/>
        <w:bidi w:val="0"/>
        <w:rPr>
          <w:rFonts w:hint="default"/>
          <w:lang w:val="en-US" w:eastAsia="zh-CN"/>
        </w:rPr>
      </w:pPr>
      <w:bookmarkStart w:id="11" w:name="_Toc1242"/>
      <w:r>
        <w:rPr>
          <w:rFonts w:hint="default"/>
          <w:lang w:val="en-US" w:eastAsia="zh-CN"/>
        </w:rPr>
        <w:t>项目收尾与知识转移</w:t>
      </w:r>
      <w:bookmarkEnd w:id="11"/>
    </w:p>
    <w:p w14:paraId="201A2A0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通过最终验收后，我们将立即启动收尾程序。首先，完成所有项目文档的最终版整理与正式移交。其次，组织面向甲方运维团队的系统性知识转移培训，涵盖系统架构、日常操作、故障排查及数据质量监控等核心内容，确保甲方能够独立运维。最后，项目团队将按照合同条款，将系统支持工作平稳移交至我司售后服务体系，进入质保期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1AFA7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7C19C33"/>
    <w:multiLevelType w:val="singleLevel"/>
    <w:tmpl w:val="27C19C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0FCB0F7"/>
    <w:multiLevelType w:val="singleLevel"/>
    <w:tmpl w:val="70FCB0F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27349C"/>
    <w:rsid w:val="010A29DC"/>
    <w:rsid w:val="0116312F"/>
    <w:rsid w:val="01C62F2B"/>
    <w:rsid w:val="02D216D3"/>
    <w:rsid w:val="031C251B"/>
    <w:rsid w:val="05551D4C"/>
    <w:rsid w:val="058368B9"/>
    <w:rsid w:val="0656794B"/>
    <w:rsid w:val="08944817"/>
    <w:rsid w:val="09D41DD9"/>
    <w:rsid w:val="0A432F22"/>
    <w:rsid w:val="0BDE699E"/>
    <w:rsid w:val="0BF40511"/>
    <w:rsid w:val="0CF462EF"/>
    <w:rsid w:val="0E010CC3"/>
    <w:rsid w:val="0F503CB0"/>
    <w:rsid w:val="0FF334F9"/>
    <w:rsid w:val="1081433D"/>
    <w:rsid w:val="10861954"/>
    <w:rsid w:val="10C303F0"/>
    <w:rsid w:val="119B31DD"/>
    <w:rsid w:val="11FA1551"/>
    <w:rsid w:val="13AD44C3"/>
    <w:rsid w:val="13DA44C0"/>
    <w:rsid w:val="146B158C"/>
    <w:rsid w:val="15595889"/>
    <w:rsid w:val="166D72BD"/>
    <w:rsid w:val="176F54E7"/>
    <w:rsid w:val="182B0F6C"/>
    <w:rsid w:val="1850655B"/>
    <w:rsid w:val="19766A09"/>
    <w:rsid w:val="19A22962"/>
    <w:rsid w:val="19CC03D7"/>
    <w:rsid w:val="19DB686C"/>
    <w:rsid w:val="1A116732"/>
    <w:rsid w:val="1A7C004F"/>
    <w:rsid w:val="1D0333B3"/>
    <w:rsid w:val="1D9B14B8"/>
    <w:rsid w:val="1DB21FDA"/>
    <w:rsid w:val="1E1F09F2"/>
    <w:rsid w:val="1EC13601"/>
    <w:rsid w:val="1ED335EA"/>
    <w:rsid w:val="1F5A6485"/>
    <w:rsid w:val="1F645556"/>
    <w:rsid w:val="234B6811"/>
    <w:rsid w:val="24267527"/>
    <w:rsid w:val="262E41C8"/>
    <w:rsid w:val="26405AAC"/>
    <w:rsid w:val="287E31E4"/>
    <w:rsid w:val="2B8642BE"/>
    <w:rsid w:val="2C38364A"/>
    <w:rsid w:val="2CFF066C"/>
    <w:rsid w:val="2D241E80"/>
    <w:rsid w:val="2E075A2A"/>
    <w:rsid w:val="31700927"/>
    <w:rsid w:val="325356E2"/>
    <w:rsid w:val="33A855B9"/>
    <w:rsid w:val="33AB32FB"/>
    <w:rsid w:val="34E940DB"/>
    <w:rsid w:val="356E638F"/>
    <w:rsid w:val="3623361D"/>
    <w:rsid w:val="38A81BB8"/>
    <w:rsid w:val="393D2C48"/>
    <w:rsid w:val="396673B2"/>
    <w:rsid w:val="3A59585F"/>
    <w:rsid w:val="3B970A7D"/>
    <w:rsid w:val="3C074E88"/>
    <w:rsid w:val="3CC64D02"/>
    <w:rsid w:val="3D115F7D"/>
    <w:rsid w:val="3F5D36FC"/>
    <w:rsid w:val="3F731171"/>
    <w:rsid w:val="3F9F1F66"/>
    <w:rsid w:val="40755F06"/>
    <w:rsid w:val="419453CF"/>
    <w:rsid w:val="45A81449"/>
    <w:rsid w:val="48111BBD"/>
    <w:rsid w:val="48313466"/>
    <w:rsid w:val="48560E00"/>
    <w:rsid w:val="485633DE"/>
    <w:rsid w:val="49E54A1A"/>
    <w:rsid w:val="4A7424EA"/>
    <w:rsid w:val="4A7E3E3F"/>
    <w:rsid w:val="4AAB6F4F"/>
    <w:rsid w:val="4AAE12AF"/>
    <w:rsid w:val="4AE31708"/>
    <w:rsid w:val="4B63653E"/>
    <w:rsid w:val="4EA4146B"/>
    <w:rsid w:val="50CF33D6"/>
    <w:rsid w:val="51B11685"/>
    <w:rsid w:val="54BC0A6D"/>
    <w:rsid w:val="563665FD"/>
    <w:rsid w:val="56F86E76"/>
    <w:rsid w:val="57F30C49"/>
    <w:rsid w:val="58070251"/>
    <w:rsid w:val="58405511"/>
    <w:rsid w:val="588E217A"/>
    <w:rsid w:val="59EC5950"/>
    <w:rsid w:val="5C335AB8"/>
    <w:rsid w:val="5C403D31"/>
    <w:rsid w:val="5C7A36E7"/>
    <w:rsid w:val="5CF03BE9"/>
    <w:rsid w:val="5E0A2849"/>
    <w:rsid w:val="5EC5728B"/>
    <w:rsid w:val="600B28A8"/>
    <w:rsid w:val="60F31CBA"/>
    <w:rsid w:val="611C2FBF"/>
    <w:rsid w:val="617D1584"/>
    <w:rsid w:val="62343023"/>
    <w:rsid w:val="64563013"/>
    <w:rsid w:val="64A21A2D"/>
    <w:rsid w:val="6511270F"/>
    <w:rsid w:val="652E1513"/>
    <w:rsid w:val="65426E7E"/>
    <w:rsid w:val="65876E75"/>
    <w:rsid w:val="676B34F8"/>
    <w:rsid w:val="69FC2352"/>
    <w:rsid w:val="6B5E1601"/>
    <w:rsid w:val="6CC4450B"/>
    <w:rsid w:val="6CDF4B2B"/>
    <w:rsid w:val="6D1014FE"/>
    <w:rsid w:val="6D1F7993"/>
    <w:rsid w:val="6E23799F"/>
    <w:rsid w:val="6FA32AFD"/>
    <w:rsid w:val="6FE23364"/>
    <w:rsid w:val="71470820"/>
    <w:rsid w:val="71775FF0"/>
    <w:rsid w:val="73B21BD4"/>
    <w:rsid w:val="73C372CA"/>
    <w:rsid w:val="73D47729"/>
    <w:rsid w:val="76143E0D"/>
    <w:rsid w:val="76452218"/>
    <w:rsid w:val="77CD4BBB"/>
    <w:rsid w:val="7A861051"/>
    <w:rsid w:val="7A936255"/>
    <w:rsid w:val="7ADC6261"/>
    <w:rsid w:val="7B006E3F"/>
    <w:rsid w:val="7C640717"/>
    <w:rsid w:val="7C9537CE"/>
    <w:rsid w:val="7D3B25C7"/>
    <w:rsid w:val="7E6478FC"/>
    <w:rsid w:val="7EB6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qFormat/>
    <w:uiPriority w:val="0"/>
    <w:rPr>
      <w:rFonts w:ascii="Courier New" w:hAnsi="Courier New"/>
      <w:sz w:val="20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table" w:customStyle="1" w:styleId="4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2744</Words>
  <Characters>2860</Characters>
  <Lines>0</Lines>
  <Paragraphs>0</Paragraphs>
  <TotalTime>0</TotalTime>
  <ScaleCrop>false</ScaleCrop>
  <LinksUpToDate>false</LinksUpToDate>
  <CharactersWithSpaces>2940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2025-12-27T15:23:13Z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