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2CC98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p w14:paraId="77C30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13C4EC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6738"/>
      <w:r>
        <w:rPr>
          <w:rFonts w:hint="eastAsia"/>
          <w:lang w:val="en-US" w:eastAsia="zh-CN"/>
        </w:rPr>
        <w:t>青岛瑞源工程集团有限公司</w:t>
      </w:r>
      <w:bookmarkEnd w:id="0"/>
    </w:p>
    <w:p w14:paraId="0B67E18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黑体"/>
          <w:sz w:val="44"/>
          <w:szCs w:val="44"/>
          <w:lang w:val="en-US" w:eastAsia="zh-CN"/>
        </w:rPr>
      </w:pPr>
      <w:bookmarkStart w:id="1" w:name="_Toc7291"/>
      <w:r>
        <w:rPr>
          <w:rFonts w:hint="eastAsia"/>
          <w:sz w:val="44"/>
          <w:szCs w:val="44"/>
          <w:lang w:val="en-US" w:eastAsia="zh-CN"/>
        </w:rPr>
        <w:t>烟台林海嵎峡田综合体智慧农业大数据平台建设项目巡检记录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F8EE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4D29B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4DD0AF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03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30</w:t>
            </w:r>
          </w:p>
        </w:tc>
      </w:tr>
      <w:tr w14:paraId="53C51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A4CA4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审核人: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02713C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03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30</w:t>
            </w:r>
          </w:p>
        </w:tc>
      </w:tr>
      <w:tr w14:paraId="216D9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B69AE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批准人: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A238B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审批时间: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03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.</w:t>
            </w:r>
            <w:r>
              <w:rPr>
                <w:rFonts w:hint="eastAsia" w:cs="Arial"/>
                <w:sz w:val="21"/>
                <w:szCs w:val="21"/>
                <w:u w:val="single"/>
                <w:lang w:val="en-US" w:eastAsia="zh-CN"/>
              </w:rPr>
              <w:t>30</w:t>
            </w:r>
          </w:p>
        </w:tc>
      </w:tr>
    </w:tbl>
    <w:p w14:paraId="47BC4B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2A15E0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7BFF6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  <w:vAlign w:val="top"/>
          </w:tcPr>
          <w:p w14:paraId="2A0AC3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607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  <w:vAlign w:val="top"/>
          </w:tcPr>
          <w:p w14:paraId="4E5DFA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253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  <w:vAlign w:val="top"/>
          </w:tcPr>
          <w:p w14:paraId="76862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730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  <w:vAlign w:val="top"/>
          </w:tcPr>
          <w:p w14:paraId="5E78B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310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  <w:vAlign w:val="top"/>
          </w:tcPr>
          <w:p w14:paraId="60417F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310" w:leftChars="0"/>
              <w:textAlignment w:val="baseline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  <w:vAlign w:val="top"/>
          </w:tcPr>
          <w:p w14:paraId="01FFF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311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B222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630DE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260" w:leftChars="0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bookmarkStart w:id="16" w:name="_GoBack"/>
            <w:bookmarkEnd w:id="16"/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19" w:type="dxa"/>
            <w:vAlign w:val="top"/>
          </w:tcPr>
          <w:p w14:paraId="6C69B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248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  <w:vAlign w:val="top"/>
          </w:tcPr>
          <w:p w14:paraId="433F35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114" w:left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10B63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  <w:vAlign w:val="top"/>
          </w:tcPr>
          <w:p w14:paraId="316EE8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 w:leftChars="0"/>
              <w:textAlignment w:val="baseline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89953239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89953239"/>
                <w:lang w:val="en-US" w:eastAsia="zh-CN"/>
              </w:rPr>
              <w:t>振</w:t>
            </w:r>
          </w:p>
        </w:tc>
        <w:tc>
          <w:tcPr>
            <w:tcW w:w="1240" w:type="dxa"/>
            <w:vAlign w:val="top"/>
          </w:tcPr>
          <w:p w14:paraId="1F0F14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BEFB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3A2ED8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4FF290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77D076B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355B7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/>
              <w:textAlignment w:val="baseline"/>
            </w:pPr>
          </w:p>
        </w:tc>
        <w:tc>
          <w:tcPr>
            <w:tcW w:w="1150" w:type="dxa"/>
          </w:tcPr>
          <w:p w14:paraId="25C5A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/>
              <w:textAlignment w:val="baseline"/>
            </w:pPr>
          </w:p>
        </w:tc>
        <w:tc>
          <w:tcPr>
            <w:tcW w:w="1240" w:type="dxa"/>
          </w:tcPr>
          <w:p w14:paraId="483A9FE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9659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2C30E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1BC94A6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2CF736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5B279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/>
              <w:textAlignment w:val="baseline"/>
            </w:pPr>
          </w:p>
        </w:tc>
        <w:tc>
          <w:tcPr>
            <w:tcW w:w="1150" w:type="dxa"/>
          </w:tcPr>
          <w:p w14:paraId="7BCD2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/>
              <w:textAlignment w:val="baseline"/>
            </w:pPr>
          </w:p>
        </w:tc>
        <w:tc>
          <w:tcPr>
            <w:tcW w:w="1240" w:type="dxa"/>
          </w:tcPr>
          <w:p w14:paraId="3DFC626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E67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FB5F7A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68900E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64E82F7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09085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51343DB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6121B5F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D01E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F5B5F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264D19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0BB4DC4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0DE80B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2E25669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2616BF4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4302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22488C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75049A0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155176C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74A834C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60FAD71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168ADDD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BFB8F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41FD3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F84D4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_Toc6738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EF48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val="en-US" w:eastAsia="zh-CN"/>
            </w:rPr>
            <w:t>烟台林海嵎峡田综合体智慧农业大数据平台建设项目巡检记录</w:t>
          </w:r>
          <w:r>
            <w:tab/>
          </w:r>
          <w:r>
            <w:fldChar w:fldCharType="begin"/>
          </w:r>
          <w:r>
            <w:instrText xml:space="preserve"> PAGEREF _Toc7291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74EA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巡检基本情况</w:t>
          </w:r>
          <w:r>
            <w:tab/>
          </w:r>
          <w:r>
            <w:fldChar w:fldCharType="begin"/>
          </w:r>
          <w:r>
            <w:instrText xml:space="preserve"> PAGEREF _Toc26892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C6F6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巡检主要内容与结果</w:t>
          </w:r>
          <w:r>
            <w:tab/>
          </w:r>
          <w:r>
            <w:fldChar w:fldCharType="begin"/>
          </w:r>
          <w:r>
            <w:instrText xml:space="preserve"> PAGEREF _Toc11557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EC13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硬件安装整体质量核查</w:t>
          </w:r>
          <w:r>
            <w:tab/>
          </w:r>
          <w:r>
            <w:fldChar w:fldCharType="begin"/>
          </w:r>
          <w:r>
            <w:instrText xml:space="preserve"> PAGEREF _Toc15015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771C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软件平台部署与数据清洗模块运行检查</w:t>
          </w:r>
          <w:r>
            <w:tab/>
          </w:r>
          <w:r>
            <w:fldChar w:fldCharType="begin"/>
          </w:r>
          <w:r>
            <w:instrText xml:space="preserve"> PAGEREF _Toc16176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BDC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系统集成与联调进展</w:t>
          </w:r>
          <w:r>
            <w:tab/>
          </w:r>
          <w:r>
            <w:fldChar w:fldCharType="begin"/>
          </w:r>
          <w:r>
            <w:instrText xml:space="preserve"> PAGEREF _Toc15135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E615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施工现场安全与成品保护</w:t>
          </w:r>
          <w:r>
            <w:tab/>
          </w:r>
          <w:r>
            <w:fldChar w:fldCharType="begin"/>
          </w:r>
          <w:r>
            <w:instrText xml:space="preserve"> PAGEREF _Toc14496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7B2B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项目文档与过程记录</w:t>
          </w:r>
          <w:r>
            <w:tab/>
          </w:r>
          <w:r>
            <w:fldChar w:fldCharType="begin"/>
          </w:r>
          <w:r>
            <w:instrText xml:space="preserve"> PAGEREF _Toc606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60CD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发现的主要问题与整改要求</w:t>
          </w:r>
          <w:r>
            <w:tab/>
          </w:r>
          <w:r>
            <w:fldChar w:fldCharType="begin"/>
          </w:r>
          <w:r>
            <w:instrText xml:space="preserve"> PAGEREF _Toc23507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304D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软件功能缺口</w:t>
          </w:r>
          <w:r>
            <w:tab/>
          </w:r>
          <w:r>
            <w:fldChar w:fldCharType="begin"/>
          </w:r>
          <w:r>
            <w:instrText xml:space="preserve"> PAGEREF _Toc29465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EC4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集成缺陷</w:t>
          </w:r>
          <w:r>
            <w:tab/>
          </w:r>
          <w:r>
            <w:fldChar w:fldCharType="begin"/>
          </w:r>
          <w:r>
            <w:instrText xml:space="preserve"> PAGEREF _Toc11080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93C5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成品保护缺失</w:t>
          </w:r>
          <w:r>
            <w:tab/>
          </w:r>
          <w:r>
            <w:fldChar w:fldCharType="begin"/>
          </w:r>
          <w:r>
            <w:instrText xml:space="preserve"> PAGEREF _Toc3564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E86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机房进出管理登记制度流于形式。</w:t>
          </w:r>
          <w:r>
            <w:tab/>
          </w:r>
          <w:r>
            <w:fldChar w:fldCharType="begin"/>
          </w:r>
          <w:r>
            <w:instrText xml:space="preserve"> PAGEREF _Toc29915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4848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联调日志未能有效服务于问题诊断与追溯。</w:t>
          </w:r>
          <w:r>
            <w:tab/>
          </w:r>
          <w:r>
            <w:fldChar w:fldCharType="begin"/>
          </w:r>
          <w:r>
            <w:instrText xml:space="preserve"> PAGEREF _Toc16938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D87F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总体评价与后续安排</w:t>
          </w:r>
          <w:r>
            <w:tab/>
          </w:r>
          <w:r>
            <w:fldChar w:fldCharType="begin"/>
          </w:r>
          <w:r>
            <w:instrText xml:space="preserve"> PAGEREF _Toc2008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0014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9537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DE7B8AF">
      <w:pPr>
        <w:pStyle w:val="29"/>
        <w:bidi w:val="0"/>
        <w:rPr>
          <w:rFonts w:hint="default"/>
          <w:lang w:val="en-US" w:eastAsia="zh-CN"/>
        </w:rPr>
      </w:pPr>
      <w:bookmarkStart w:id="2" w:name="_Toc26892"/>
      <w:r>
        <w:rPr>
          <w:rFonts w:hint="default"/>
          <w:lang w:val="en-US" w:eastAsia="zh-CN"/>
        </w:rPr>
        <w:t>巡检基本情况</w:t>
      </w:r>
      <w:bookmarkEnd w:id="2"/>
    </w:p>
    <w:p w14:paraId="3C166D1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为项目进入系统集成与联调关键阶段的一次专项检查。依据项目《总体实施方案》，当前阶段应完成全部硬件安装与主要软件开发，并进入全系统集成测试。本次巡检旨在对硬件安装的最终质量、软件系统部署进度、数据清洗模块运行状态以及集成联调的组织情况进行全面核查，确保项目按期进入试运行阶段。</w:t>
      </w:r>
    </w:p>
    <w:p w14:paraId="1E5B349C">
      <w:pPr>
        <w:pStyle w:val="29"/>
        <w:bidi w:val="0"/>
        <w:rPr>
          <w:rFonts w:hint="default"/>
          <w:lang w:val="en-US" w:eastAsia="zh-CN"/>
        </w:rPr>
      </w:pPr>
      <w:bookmarkStart w:id="3" w:name="_Toc11557"/>
      <w:r>
        <w:rPr>
          <w:rFonts w:hint="default"/>
          <w:lang w:val="en-US" w:eastAsia="zh-CN"/>
        </w:rPr>
        <w:t>巡检主要内容与结果</w:t>
      </w:r>
      <w:bookmarkEnd w:id="3"/>
    </w:p>
    <w:p w14:paraId="13DBDCAE">
      <w:pPr>
        <w:pStyle w:val="31"/>
        <w:bidi w:val="0"/>
        <w:rPr>
          <w:rFonts w:hint="default"/>
          <w:lang w:val="en-US" w:eastAsia="zh-CN"/>
        </w:rPr>
      </w:pPr>
      <w:bookmarkStart w:id="4" w:name="_Toc15015"/>
      <w:r>
        <w:rPr>
          <w:rFonts w:hint="default"/>
          <w:lang w:val="en-US" w:eastAsia="zh-CN"/>
        </w:rPr>
        <w:t>硬件安装整体质量核查</w:t>
      </w:r>
      <w:bookmarkEnd w:id="4"/>
    </w:p>
    <w:p w14:paraId="0074B5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前期巡检发现问题的整改情况进行复查，并抽查新增安装点位。经查，前期记录的防雷接地锈蚀问题已按规范完成防腐处理，现场垃圾清理已常态化。本次抽查了位于园区西区的3台结构化摄像机及配套网络设备安装，发现安装牢固，角度覆盖符合设计图纸，线缆标签清晰、绑扎整齐。中心机房内机柜安装稳固，设备上架整齐，强弱电线缆已初步隔离。</w:t>
      </w:r>
    </w:p>
    <w:p w14:paraId="0C6AC168">
      <w:pPr>
        <w:pStyle w:val="31"/>
        <w:bidi w:val="0"/>
        <w:rPr>
          <w:rFonts w:hint="default"/>
          <w:lang w:val="en-US" w:eastAsia="zh-CN"/>
        </w:rPr>
      </w:pPr>
      <w:bookmarkStart w:id="5" w:name="_Toc16176"/>
      <w:r>
        <w:rPr>
          <w:rFonts w:hint="default"/>
          <w:lang w:val="en-US" w:eastAsia="zh-CN"/>
        </w:rPr>
        <w:t>软件平台部署与数据清洗模块运行检查</w:t>
      </w:r>
      <w:bookmarkEnd w:id="5"/>
    </w:p>
    <w:p w14:paraId="61E9B7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中心机房检查了智慧农业大数据平台软件V1.2版本的部署情况。平台基础服务已启动，核心数据库运行正常。重点查验了数据清洗模块：数据流水线监控界面显示，视频流、传感器数据的实时接入与清洗任务运行状态正常。现场随机抽检了当日部分清洗日志，规则触发与执行记录完整。数据质量监控看板已初步上线，可显示数据接入量、延迟等基础指标，但与《数据清洗策略方案》约定的部分核心KPI（如AI识别准确率）的实时监控界面尚未完全集成。</w:t>
      </w:r>
    </w:p>
    <w:p w14:paraId="35C1BD5C">
      <w:pPr>
        <w:pStyle w:val="31"/>
        <w:bidi w:val="0"/>
        <w:rPr>
          <w:rFonts w:hint="default"/>
          <w:lang w:val="en-US" w:eastAsia="zh-CN"/>
        </w:rPr>
      </w:pPr>
      <w:bookmarkStart w:id="6" w:name="_Toc15135"/>
      <w:r>
        <w:rPr>
          <w:rFonts w:hint="default"/>
          <w:lang w:val="en-US" w:eastAsia="zh-CN"/>
        </w:rPr>
        <w:t>系统集成与联调进展</w:t>
      </w:r>
      <w:bookmarkEnd w:id="6"/>
    </w:p>
    <w:p w14:paraId="5A432BC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项目组正在组织进行首次全系统联调。检查时，安防视频流已可推送至指挥中心大屏，并能进行轮巡与切换。部分环境传感器数据已能在平台地图上显示。然而，在检查“视频布控告警”与“传感器数据阈值报警”的联动场景时，发现触发后平台界面有弹窗，但未按设计要求同步推送至移动管理端。联调现场记录显示，此类待解决的接口问题共计有5项。</w:t>
      </w:r>
    </w:p>
    <w:p w14:paraId="1851C025">
      <w:pPr>
        <w:pStyle w:val="31"/>
        <w:bidi w:val="0"/>
        <w:rPr>
          <w:rFonts w:hint="default"/>
          <w:lang w:val="en-US" w:eastAsia="zh-CN"/>
        </w:rPr>
      </w:pPr>
      <w:bookmarkStart w:id="7" w:name="_Toc14496"/>
      <w:r>
        <w:rPr>
          <w:rFonts w:hint="default"/>
          <w:lang w:val="en-US" w:eastAsia="zh-CN"/>
        </w:rPr>
        <w:t>施工现场安全与成品保护</w:t>
      </w:r>
      <w:bookmarkEnd w:id="7"/>
    </w:p>
    <w:p w14:paraId="7BE9202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大规模安装作业已基本结束，现场施工人员减少。检查发现，部分已安装完成的室外摄像机镜头未加装临时防护罩，存在粉尘污染风险。中心机房入口处虽张贴了进出管理制度，但人员进出登记执行不严格。</w:t>
      </w:r>
    </w:p>
    <w:p w14:paraId="3F116381">
      <w:pPr>
        <w:pStyle w:val="31"/>
        <w:bidi w:val="0"/>
        <w:rPr>
          <w:rFonts w:hint="default"/>
          <w:lang w:val="en-US" w:eastAsia="zh-CN"/>
        </w:rPr>
      </w:pPr>
      <w:bookmarkStart w:id="8" w:name="_Toc606"/>
      <w:r>
        <w:rPr>
          <w:rFonts w:hint="default"/>
          <w:lang w:val="en-US" w:eastAsia="zh-CN"/>
        </w:rPr>
        <w:t>项目文档与过程记录</w:t>
      </w:r>
      <w:bookmarkEnd w:id="8"/>
    </w:p>
    <w:p w14:paraId="31DF87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索阅了《系统集成测试计划》和近一周的《联调日志》。测试计划内容详实，但联调日志对失败用例的记录不够细致，缺少根本原因分析和明确的解决负责人。</w:t>
      </w:r>
    </w:p>
    <w:p w14:paraId="27DD137C">
      <w:pPr>
        <w:pStyle w:val="29"/>
        <w:bidi w:val="0"/>
        <w:rPr>
          <w:rFonts w:hint="default"/>
          <w:lang w:val="en-US" w:eastAsia="zh-CN"/>
        </w:rPr>
      </w:pPr>
      <w:bookmarkStart w:id="9" w:name="_Toc23507"/>
      <w:r>
        <w:rPr>
          <w:rFonts w:hint="default"/>
          <w:lang w:val="en-US" w:eastAsia="zh-CN"/>
        </w:rPr>
        <w:t>发现的主要问题与整改要求</w:t>
      </w:r>
      <w:bookmarkEnd w:id="9"/>
    </w:p>
    <w:p w14:paraId="55557BA0">
      <w:pPr>
        <w:pStyle w:val="31"/>
        <w:bidi w:val="0"/>
        <w:rPr>
          <w:rFonts w:hint="default"/>
          <w:lang w:val="en-US" w:eastAsia="zh-CN"/>
        </w:rPr>
      </w:pPr>
      <w:bookmarkStart w:id="10" w:name="_Toc29465"/>
      <w:r>
        <w:rPr>
          <w:rFonts w:hint="default"/>
          <w:lang w:val="en-US" w:eastAsia="zh-CN"/>
        </w:rPr>
        <w:t>软件功能缺口</w:t>
      </w:r>
      <w:bookmarkEnd w:id="10"/>
    </w:p>
    <w:p w14:paraId="7A6B1200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数据质量监控看板功能不完整，缺少关键业务KPI（如准确率、采集率）的实时可视化与历史趋势展示。</w:t>
      </w:r>
    </w:p>
    <w:p w14:paraId="0AC7CA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整改要求： 严格按照《数据清洗策略方案》中的KPI定义，完成数据质量监控看板的全部功能开发与部署。需提供可实时验证的视图。</w:t>
      </w:r>
    </w:p>
    <w:p w14:paraId="395980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整改期限： 2025年3月22日前。</w:t>
      </w:r>
    </w:p>
    <w:p w14:paraId="0248A77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验收方式： 甲方现场查验。</w:t>
      </w:r>
    </w:p>
    <w:p w14:paraId="7CA8929A">
      <w:pPr>
        <w:pStyle w:val="31"/>
        <w:bidi w:val="0"/>
        <w:rPr>
          <w:rFonts w:hint="default"/>
          <w:lang w:val="en-US" w:eastAsia="zh-CN"/>
        </w:rPr>
      </w:pPr>
      <w:bookmarkStart w:id="11" w:name="_Toc11080"/>
      <w:r>
        <w:rPr>
          <w:rFonts w:hint="default"/>
          <w:lang w:val="en-US" w:eastAsia="zh-CN"/>
        </w:rPr>
        <w:t>集成缺陷</w:t>
      </w:r>
      <w:bookmarkEnd w:id="11"/>
    </w:p>
    <w:p w14:paraId="5C884F39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系统报警事件未能实现多端（平台界面、移动端）同步推送，不符合业务需求。</w:t>
      </w:r>
    </w:p>
    <w:p w14:paraId="651F11E4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整改要求： 修复消息推送服务的接口与配置，完成所有已定义报警类型的端到端测试，并提供测试报告。</w:t>
      </w:r>
    </w:p>
    <w:p w14:paraId="40100125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整改期限： 2025年3月20日前。</w:t>
      </w:r>
    </w:p>
    <w:p w14:paraId="75815F22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验收方式： 联调测试中现场验证。</w:t>
      </w:r>
    </w:p>
    <w:p w14:paraId="1207C286">
      <w:pPr>
        <w:pStyle w:val="31"/>
        <w:bidi w:val="0"/>
        <w:rPr>
          <w:rFonts w:hint="default"/>
          <w:lang w:val="en-US" w:eastAsia="zh-CN"/>
        </w:rPr>
      </w:pPr>
      <w:bookmarkStart w:id="12" w:name="_Toc3564"/>
      <w:r>
        <w:rPr>
          <w:rFonts w:hint="default"/>
          <w:lang w:val="en-US" w:eastAsia="zh-CN"/>
        </w:rPr>
        <w:t>成品保护缺失</w:t>
      </w:r>
      <w:bookmarkEnd w:id="12"/>
    </w:p>
    <w:p w14:paraId="0C241487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已安装的精密光学设备（如摄像机镜头）缺乏有效临时保护。</w:t>
      </w:r>
    </w:p>
    <w:p w14:paraId="2B779E08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整改要求：立即对所有室外已安装但未正式使用的摄像机镜头加装防尘防护罩，并建立每日巡检制度。</w:t>
      </w:r>
    </w:p>
    <w:p w14:paraId="4EC3CD56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整改期限：2025年3月16日前完成。</w:t>
      </w:r>
    </w:p>
    <w:p w14:paraId="2BEE8FEF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验收方式：甲方随机抽查。</w:t>
      </w:r>
    </w:p>
    <w:p w14:paraId="3B5D44BA">
      <w:pPr>
        <w:pStyle w:val="31"/>
        <w:bidi w:val="0"/>
        <w:rPr>
          <w:rFonts w:hint="default"/>
          <w:lang w:val="en-US" w:eastAsia="zh-CN"/>
        </w:rPr>
      </w:pPr>
      <w:bookmarkStart w:id="13" w:name="_Toc29915"/>
      <w:r>
        <w:rPr>
          <w:rFonts w:hint="default"/>
          <w:lang w:val="en-US" w:eastAsia="zh-CN"/>
        </w:rPr>
        <w:t>机房进出管理登记制度流于形式。</w:t>
      </w:r>
      <w:bookmarkEnd w:id="13"/>
    </w:p>
    <w:p w14:paraId="0FF22502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整改要求：立即严格执行机房进出登记，登记表应包含人员、事由、进出时间等信息。将此项纳入日常管理考核。</w:t>
      </w:r>
    </w:p>
    <w:p w14:paraId="1F777725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整改期限：立即执行，并长期坚持。</w:t>
      </w:r>
    </w:p>
    <w:p w14:paraId="3295E897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验收方式：下次巡检时检查登记记录。</w:t>
      </w:r>
    </w:p>
    <w:p w14:paraId="6996354A">
      <w:pPr>
        <w:pStyle w:val="31"/>
        <w:bidi w:val="0"/>
        <w:rPr>
          <w:rFonts w:hint="default"/>
          <w:lang w:val="en-US" w:eastAsia="zh-CN"/>
        </w:rPr>
      </w:pPr>
      <w:bookmarkStart w:id="14" w:name="_Toc16938"/>
      <w:r>
        <w:rPr>
          <w:rFonts w:hint="default"/>
          <w:lang w:val="en-US" w:eastAsia="zh-CN"/>
        </w:rPr>
        <w:t>联调日志未能有效服务于问题诊断与追溯。</w:t>
      </w:r>
      <w:bookmarkEnd w:id="14"/>
    </w:p>
    <w:p w14:paraId="35947741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整改要求：优化联调日志模板，必须包含测试用例、预期结果、实际结果、失败原因分析、责任开发人员及解决状态。</w:t>
      </w:r>
    </w:p>
    <w:p w14:paraId="0B7AE97D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整改期限：2025年3月18日前启用新模板。</w:t>
      </w:r>
    </w:p>
    <w:p w14:paraId="1F65E33B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验收方式：提交新模板及按新规记录的日志样例。</w:t>
      </w:r>
    </w:p>
    <w:p w14:paraId="2E8F4090">
      <w:pPr>
        <w:pStyle w:val="29"/>
        <w:bidi w:val="0"/>
        <w:rPr>
          <w:rFonts w:hint="default"/>
          <w:lang w:val="en-US" w:eastAsia="zh-CN"/>
        </w:rPr>
      </w:pPr>
      <w:bookmarkStart w:id="15" w:name="_Toc2008"/>
      <w:r>
        <w:rPr>
          <w:rFonts w:hint="default"/>
          <w:lang w:val="en-US" w:eastAsia="zh-CN"/>
        </w:rPr>
        <w:t>总体评价与后续安排</w:t>
      </w:r>
      <w:bookmarkEnd w:id="15"/>
    </w:p>
    <w:p w14:paraId="7C0CC3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表明，项目硬件安装工作已基本收尾，质量总体合格。软件系统与数据清洗模块已部署并运行，但在功能完备性、系统集成深度以及精细化过程管理上存在明显短板，正处于“可用”但尚未“好用、可靠”的关键攻坚期。</w:t>
      </w:r>
    </w:p>
    <w:p w14:paraId="2F0F9C3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后续安排：</w:t>
      </w:r>
    </w:p>
    <w:p w14:paraId="745FC92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乙方须优先解决上述功能与集成问题（问题一、二），并于规定期限前提交书面整改完成报告及相关测试证据。</w:t>
      </w:r>
    </w:p>
    <w:p w14:paraId="1C9D87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甲方将于2025年3月23日前后，对本次巡检发现的所有问题进行集中复核。</w:t>
      </w:r>
    </w:p>
    <w:p w14:paraId="201A2A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项目已进入最后冲刺阶段，要求乙方加强内部测试与每日站会，确保所有联调问题日清日结。下次巡检将结合试运行评审进行。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1AFA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7349C"/>
    <w:rsid w:val="010A29DC"/>
    <w:rsid w:val="0116312F"/>
    <w:rsid w:val="01C62F2B"/>
    <w:rsid w:val="01FA47FF"/>
    <w:rsid w:val="02D216D3"/>
    <w:rsid w:val="031C251B"/>
    <w:rsid w:val="05551D4C"/>
    <w:rsid w:val="058368B9"/>
    <w:rsid w:val="071A324D"/>
    <w:rsid w:val="08944817"/>
    <w:rsid w:val="09D41DD9"/>
    <w:rsid w:val="0A432F22"/>
    <w:rsid w:val="0BDE699E"/>
    <w:rsid w:val="0BF40511"/>
    <w:rsid w:val="0CF462EF"/>
    <w:rsid w:val="0E010CC3"/>
    <w:rsid w:val="0F503CB0"/>
    <w:rsid w:val="0FF334F9"/>
    <w:rsid w:val="1081433D"/>
    <w:rsid w:val="10861954"/>
    <w:rsid w:val="10C303F0"/>
    <w:rsid w:val="119B31DD"/>
    <w:rsid w:val="11FA1551"/>
    <w:rsid w:val="13AD44C3"/>
    <w:rsid w:val="13DA44C0"/>
    <w:rsid w:val="146B158C"/>
    <w:rsid w:val="15595889"/>
    <w:rsid w:val="166D72BD"/>
    <w:rsid w:val="176F54E7"/>
    <w:rsid w:val="182B0F6C"/>
    <w:rsid w:val="1850655B"/>
    <w:rsid w:val="190A1B64"/>
    <w:rsid w:val="19540841"/>
    <w:rsid w:val="19766A09"/>
    <w:rsid w:val="19A22962"/>
    <w:rsid w:val="19CC03D7"/>
    <w:rsid w:val="19DB686C"/>
    <w:rsid w:val="1A116732"/>
    <w:rsid w:val="1A7C004F"/>
    <w:rsid w:val="1B634D6B"/>
    <w:rsid w:val="1D0333B3"/>
    <w:rsid w:val="1D792624"/>
    <w:rsid w:val="1D9B14B8"/>
    <w:rsid w:val="1DB21FDA"/>
    <w:rsid w:val="1E1F09F2"/>
    <w:rsid w:val="1EC13601"/>
    <w:rsid w:val="1ED335EA"/>
    <w:rsid w:val="1F5A6485"/>
    <w:rsid w:val="1F645556"/>
    <w:rsid w:val="221B5875"/>
    <w:rsid w:val="234B6811"/>
    <w:rsid w:val="24267527"/>
    <w:rsid w:val="262E41C8"/>
    <w:rsid w:val="26405AAC"/>
    <w:rsid w:val="287E31E4"/>
    <w:rsid w:val="2B8642BE"/>
    <w:rsid w:val="2C38364A"/>
    <w:rsid w:val="2CFF066C"/>
    <w:rsid w:val="2D241E80"/>
    <w:rsid w:val="2E075A2A"/>
    <w:rsid w:val="31700927"/>
    <w:rsid w:val="325356E2"/>
    <w:rsid w:val="33A855B9"/>
    <w:rsid w:val="33AB32FB"/>
    <w:rsid w:val="34E940DB"/>
    <w:rsid w:val="356E638F"/>
    <w:rsid w:val="3623361D"/>
    <w:rsid w:val="36274EBB"/>
    <w:rsid w:val="37683E2E"/>
    <w:rsid w:val="38A81BB8"/>
    <w:rsid w:val="393D2C48"/>
    <w:rsid w:val="396673B2"/>
    <w:rsid w:val="3A59585F"/>
    <w:rsid w:val="3B970A7D"/>
    <w:rsid w:val="3BC8316F"/>
    <w:rsid w:val="3C074E88"/>
    <w:rsid w:val="3CC64D02"/>
    <w:rsid w:val="3D115F7D"/>
    <w:rsid w:val="3D934282"/>
    <w:rsid w:val="3F5D36FC"/>
    <w:rsid w:val="3F731171"/>
    <w:rsid w:val="3F9F1F66"/>
    <w:rsid w:val="40755F06"/>
    <w:rsid w:val="418376A3"/>
    <w:rsid w:val="419453CF"/>
    <w:rsid w:val="45A81449"/>
    <w:rsid w:val="48111BBD"/>
    <w:rsid w:val="48313466"/>
    <w:rsid w:val="48560E00"/>
    <w:rsid w:val="485633DE"/>
    <w:rsid w:val="49E54A1A"/>
    <w:rsid w:val="4A7424EA"/>
    <w:rsid w:val="4A7E3E3F"/>
    <w:rsid w:val="4AAB6F4F"/>
    <w:rsid w:val="4AAE12AF"/>
    <w:rsid w:val="4AE31708"/>
    <w:rsid w:val="4B63653E"/>
    <w:rsid w:val="4EA4146B"/>
    <w:rsid w:val="50502E09"/>
    <w:rsid w:val="50CF33D6"/>
    <w:rsid w:val="510F4A72"/>
    <w:rsid w:val="51B11685"/>
    <w:rsid w:val="54416941"/>
    <w:rsid w:val="54BC0A6D"/>
    <w:rsid w:val="563665FD"/>
    <w:rsid w:val="56F86E76"/>
    <w:rsid w:val="57F30C49"/>
    <w:rsid w:val="58070251"/>
    <w:rsid w:val="58405511"/>
    <w:rsid w:val="588E217A"/>
    <w:rsid w:val="59EC5950"/>
    <w:rsid w:val="5C335AB8"/>
    <w:rsid w:val="5C403D31"/>
    <w:rsid w:val="5C7A36E7"/>
    <w:rsid w:val="5CF03BE9"/>
    <w:rsid w:val="5E0A2849"/>
    <w:rsid w:val="5EC5728B"/>
    <w:rsid w:val="600B28A8"/>
    <w:rsid w:val="60F31CBA"/>
    <w:rsid w:val="611C2FBF"/>
    <w:rsid w:val="617D1584"/>
    <w:rsid w:val="61AB4632"/>
    <w:rsid w:val="62343023"/>
    <w:rsid w:val="636C579C"/>
    <w:rsid w:val="64563013"/>
    <w:rsid w:val="64A21A2D"/>
    <w:rsid w:val="6511270F"/>
    <w:rsid w:val="652E1513"/>
    <w:rsid w:val="65426E7E"/>
    <w:rsid w:val="65876E75"/>
    <w:rsid w:val="66F14F6E"/>
    <w:rsid w:val="676B34F8"/>
    <w:rsid w:val="69D63F27"/>
    <w:rsid w:val="69FC2352"/>
    <w:rsid w:val="6B5E1601"/>
    <w:rsid w:val="6C335841"/>
    <w:rsid w:val="6CC4450B"/>
    <w:rsid w:val="6CDF4B2B"/>
    <w:rsid w:val="6CF26275"/>
    <w:rsid w:val="6D1014FE"/>
    <w:rsid w:val="6D1F7993"/>
    <w:rsid w:val="6E23799F"/>
    <w:rsid w:val="6FA32AFD"/>
    <w:rsid w:val="6FE23364"/>
    <w:rsid w:val="71470820"/>
    <w:rsid w:val="71775FF0"/>
    <w:rsid w:val="71D7083C"/>
    <w:rsid w:val="71EC43A2"/>
    <w:rsid w:val="72CE1C3F"/>
    <w:rsid w:val="73B21BD4"/>
    <w:rsid w:val="73C372CA"/>
    <w:rsid w:val="73D47729"/>
    <w:rsid w:val="76143E0D"/>
    <w:rsid w:val="76452218"/>
    <w:rsid w:val="7762504C"/>
    <w:rsid w:val="77CD4BBB"/>
    <w:rsid w:val="7A861051"/>
    <w:rsid w:val="7A936255"/>
    <w:rsid w:val="7ADC6261"/>
    <w:rsid w:val="7B006E3F"/>
    <w:rsid w:val="7B205002"/>
    <w:rsid w:val="7C640717"/>
    <w:rsid w:val="7C9537CE"/>
    <w:rsid w:val="7D3B25C7"/>
    <w:rsid w:val="7E6478FC"/>
    <w:rsid w:val="7EB6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2047</Words>
  <Characters>2168</Characters>
  <Lines>0</Lines>
  <Paragraphs>0</Paragraphs>
  <TotalTime>0</TotalTime>
  <ScaleCrop>false</ScaleCrop>
  <LinksUpToDate>false</LinksUpToDate>
  <CharactersWithSpaces>2236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2025-12-27T15:37:01Z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