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2CC98">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7</w:t>
      </w:r>
    </w:p>
    <w:p w14:paraId="77C3069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13C4E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7007"/>
      <w:r>
        <w:rPr>
          <w:rFonts w:hint="eastAsia"/>
          <w:lang w:val="en-US" w:eastAsia="zh-CN"/>
        </w:rPr>
        <w:t>青岛瑞源工程集团有限公司</w:t>
      </w:r>
      <w:bookmarkEnd w:id="0"/>
    </w:p>
    <w:p w14:paraId="0B67E186">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黑体"/>
          <w:sz w:val="44"/>
          <w:szCs w:val="44"/>
          <w:lang w:val="en-US" w:eastAsia="zh-CN"/>
        </w:rPr>
      </w:pPr>
      <w:bookmarkStart w:id="1" w:name="_Toc32140"/>
      <w:r>
        <w:rPr>
          <w:rFonts w:hint="eastAsia"/>
          <w:sz w:val="44"/>
          <w:szCs w:val="44"/>
          <w:lang w:val="en-US" w:eastAsia="zh-CN"/>
        </w:rPr>
        <w:t>烟台林海嵎峡田综合体智慧农业大数据平台建设项目阶段性总结报告</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F8EE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4D29B57">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编制人:</w:t>
            </w:r>
            <w:r>
              <w:rPr>
                <w:rFonts w:hint="eastAsia" w:ascii="宋体" w:hAnsi="宋体" w:eastAsia="宋体" w:cs="宋体"/>
                <w:sz w:val="21"/>
                <w:szCs w:val="21"/>
                <w:u w:val="single"/>
                <w:lang w:val="en-US" w:eastAsia="zh-CN"/>
              </w:rPr>
              <w:t>张秀才</w:t>
            </w:r>
          </w:p>
        </w:tc>
        <w:tc>
          <w:tcPr>
            <w:tcW w:w="4261" w:type="dxa"/>
          </w:tcPr>
          <w:p w14:paraId="4DD0AF4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编制时间:</w:t>
            </w:r>
            <w:r>
              <w:rPr>
                <w:rFonts w:hint="default" w:ascii="Arial" w:hAnsi="Arial" w:eastAsia="宋体" w:cs="Arial"/>
                <w:sz w:val="21"/>
                <w:szCs w:val="21"/>
                <w:u w:val="single"/>
                <w:lang w:val="en-US" w:eastAsia="zh-CN"/>
              </w:rPr>
              <w:t>2025.</w:t>
            </w:r>
            <w:r>
              <w:rPr>
                <w:rFonts w:hint="eastAsia" w:cs="Arial"/>
                <w:sz w:val="21"/>
                <w:szCs w:val="21"/>
                <w:u w:val="single"/>
                <w:lang w:val="en-US" w:eastAsia="zh-CN"/>
              </w:rPr>
              <w:t>04</w:t>
            </w:r>
            <w:r>
              <w:rPr>
                <w:rFonts w:hint="default" w:ascii="Arial" w:hAnsi="Arial" w:eastAsia="宋体" w:cs="Arial"/>
                <w:sz w:val="21"/>
                <w:szCs w:val="21"/>
                <w:u w:val="single"/>
                <w:lang w:val="en-US" w:eastAsia="zh-CN"/>
              </w:rPr>
              <w:t>.</w:t>
            </w:r>
            <w:r>
              <w:rPr>
                <w:rFonts w:hint="eastAsia" w:cs="Arial"/>
                <w:sz w:val="21"/>
                <w:szCs w:val="21"/>
                <w:u w:val="single"/>
                <w:lang w:val="en-US" w:eastAsia="zh-CN"/>
              </w:rPr>
              <w:t>20</w:t>
            </w:r>
          </w:p>
        </w:tc>
      </w:tr>
      <w:tr w14:paraId="53C5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3A4CA4BB">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审核人:</w:t>
            </w:r>
            <w:r>
              <w:rPr>
                <w:rFonts w:hint="eastAsia" w:ascii="宋体" w:hAnsi="宋体" w:eastAsia="宋体" w:cs="宋体"/>
                <w:sz w:val="21"/>
                <w:szCs w:val="21"/>
                <w:u w:val="single"/>
                <w:lang w:val="en-US" w:eastAsia="zh-CN"/>
              </w:rPr>
              <w:t>宋振</w:t>
            </w:r>
          </w:p>
        </w:tc>
        <w:tc>
          <w:tcPr>
            <w:tcW w:w="4261" w:type="dxa"/>
            <w:shd w:val="clear" w:color="auto" w:fill="auto"/>
          </w:tcPr>
          <w:p w14:paraId="02713C8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编制时间:</w:t>
            </w:r>
            <w:r>
              <w:rPr>
                <w:rFonts w:hint="default" w:ascii="Arial" w:hAnsi="Arial" w:eastAsia="宋体" w:cs="Arial"/>
                <w:sz w:val="21"/>
                <w:szCs w:val="21"/>
                <w:u w:val="single"/>
                <w:lang w:val="en-US" w:eastAsia="zh-CN"/>
              </w:rPr>
              <w:t>2025.</w:t>
            </w:r>
            <w:r>
              <w:rPr>
                <w:rFonts w:hint="eastAsia" w:cs="Arial"/>
                <w:sz w:val="21"/>
                <w:szCs w:val="21"/>
                <w:u w:val="single"/>
                <w:lang w:val="en-US" w:eastAsia="zh-CN"/>
              </w:rPr>
              <w:t>04</w:t>
            </w:r>
            <w:r>
              <w:rPr>
                <w:rFonts w:hint="default" w:ascii="Arial" w:hAnsi="Arial" w:eastAsia="宋体" w:cs="Arial"/>
                <w:sz w:val="21"/>
                <w:szCs w:val="21"/>
                <w:u w:val="single"/>
                <w:lang w:val="en-US" w:eastAsia="zh-CN"/>
              </w:rPr>
              <w:t>.</w:t>
            </w:r>
            <w:r>
              <w:rPr>
                <w:rFonts w:hint="eastAsia" w:cs="Arial"/>
                <w:sz w:val="21"/>
                <w:szCs w:val="21"/>
                <w:u w:val="single"/>
                <w:lang w:val="en-US" w:eastAsia="zh-CN"/>
              </w:rPr>
              <w:t>20</w:t>
            </w:r>
          </w:p>
        </w:tc>
      </w:tr>
      <w:tr w14:paraId="216D9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7B69AE19">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批准人:</w:t>
            </w:r>
            <w:r>
              <w:rPr>
                <w:rFonts w:hint="eastAsia" w:ascii="宋体" w:hAnsi="宋体" w:eastAsia="宋体" w:cs="宋体"/>
                <w:sz w:val="21"/>
                <w:szCs w:val="21"/>
                <w:u w:val="single"/>
                <w:lang w:val="en-US" w:eastAsia="zh-CN"/>
              </w:rPr>
              <w:t>于瑞建</w:t>
            </w:r>
          </w:p>
        </w:tc>
        <w:tc>
          <w:tcPr>
            <w:tcW w:w="4261" w:type="dxa"/>
          </w:tcPr>
          <w:p w14:paraId="1A238B3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审批时间:</w:t>
            </w:r>
            <w:r>
              <w:rPr>
                <w:rFonts w:hint="default" w:ascii="Arial" w:hAnsi="Arial" w:eastAsia="宋体" w:cs="Arial"/>
                <w:sz w:val="21"/>
                <w:szCs w:val="21"/>
                <w:u w:val="single"/>
                <w:lang w:val="en-US" w:eastAsia="zh-CN"/>
              </w:rPr>
              <w:t>2025.</w:t>
            </w:r>
            <w:r>
              <w:rPr>
                <w:rFonts w:hint="eastAsia" w:cs="Arial"/>
                <w:sz w:val="21"/>
                <w:szCs w:val="21"/>
                <w:u w:val="single"/>
                <w:lang w:val="en-US" w:eastAsia="zh-CN"/>
              </w:rPr>
              <w:t>04</w:t>
            </w:r>
            <w:r>
              <w:rPr>
                <w:rFonts w:hint="default" w:ascii="Arial" w:hAnsi="Arial" w:eastAsia="宋体" w:cs="Arial"/>
                <w:sz w:val="21"/>
                <w:szCs w:val="21"/>
                <w:u w:val="single"/>
                <w:lang w:val="en-US" w:eastAsia="zh-CN"/>
              </w:rPr>
              <w:t>.</w:t>
            </w:r>
            <w:r>
              <w:rPr>
                <w:rFonts w:hint="eastAsia" w:cs="Arial"/>
                <w:sz w:val="21"/>
                <w:szCs w:val="21"/>
                <w:u w:val="single"/>
                <w:lang w:val="en-US" w:eastAsia="zh-CN"/>
              </w:rPr>
              <w:t>20</w:t>
            </w:r>
          </w:p>
        </w:tc>
      </w:tr>
    </w:tbl>
    <w:p w14:paraId="47BC4BB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2A15E00">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7BFF6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vAlign w:val="top"/>
          </w:tcPr>
          <w:p w14:paraId="2A0AC3C9">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607" w:leftChars="0"/>
              <w:textAlignment w:val="baseline"/>
              <w:rPr>
                <w:rFonts w:hint="eastAsia" w:ascii="宋体" w:hAnsi="宋体" w:eastAsia="宋体" w:cs="宋体"/>
                <w:sz w:val="20"/>
                <w:szCs w:val="20"/>
              </w:rPr>
            </w:pPr>
            <w:r>
              <w:rPr>
                <w:rFonts w:ascii="宋体" w:hAnsi="宋体" w:eastAsia="宋体" w:cs="宋体"/>
                <w:spacing w:val="-14"/>
                <w:sz w:val="20"/>
                <w:szCs w:val="20"/>
              </w:rPr>
              <w:t>日期</w:t>
            </w:r>
          </w:p>
        </w:tc>
        <w:tc>
          <w:tcPr>
            <w:tcW w:w="919" w:type="dxa"/>
            <w:vAlign w:val="top"/>
          </w:tcPr>
          <w:p w14:paraId="4E5DFA3C">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253" w:leftChars="0"/>
              <w:textAlignment w:val="baseline"/>
              <w:rPr>
                <w:rFonts w:hint="eastAsia" w:ascii="宋体" w:hAnsi="宋体" w:eastAsia="宋体" w:cs="宋体"/>
                <w:sz w:val="20"/>
                <w:szCs w:val="20"/>
              </w:rPr>
            </w:pPr>
            <w:r>
              <w:rPr>
                <w:rFonts w:ascii="宋体" w:hAnsi="宋体" w:eastAsia="宋体" w:cs="宋体"/>
                <w:spacing w:val="4"/>
                <w:sz w:val="20"/>
                <w:szCs w:val="20"/>
              </w:rPr>
              <w:t>版本</w:t>
            </w:r>
          </w:p>
        </w:tc>
        <w:tc>
          <w:tcPr>
            <w:tcW w:w="2289" w:type="dxa"/>
            <w:vAlign w:val="top"/>
          </w:tcPr>
          <w:p w14:paraId="76862C2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730" w:leftChars="0"/>
              <w:textAlignment w:val="baseline"/>
              <w:rPr>
                <w:rFonts w:hint="eastAsia" w:ascii="宋体" w:hAnsi="宋体" w:eastAsia="宋体" w:cs="宋体"/>
                <w:sz w:val="20"/>
                <w:szCs w:val="20"/>
              </w:rPr>
            </w:pPr>
            <w:r>
              <w:rPr>
                <w:rFonts w:ascii="宋体" w:hAnsi="宋体" w:eastAsia="宋体" w:cs="宋体"/>
                <w:spacing w:val="7"/>
                <w:sz w:val="20"/>
                <w:szCs w:val="20"/>
              </w:rPr>
              <w:t>变更说明</w:t>
            </w:r>
          </w:p>
        </w:tc>
        <w:tc>
          <w:tcPr>
            <w:tcW w:w="1148" w:type="dxa"/>
            <w:vAlign w:val="top"/>
          </w:tcPr>
          <w:p w14:paraId="5E78B02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310" w:leftChars="0"/>
              <w:textAlignment w:val="baseline"/>
              <w:rPr>
                <w:rFonts w:hint="eastAsia" w:ascii="宋体" w:hAnsi="宋体" w:eastAsia="宋体" w:cs="宋体"/>
                <w:sz w:val="20"/>
                <w:szCs w:val="20"/>
              </w:rPr>
            </w:pPr>
            <w:r>
              <w:rPr>
                <w:rFonts w:ascii="宋体" w:hAnsi="宋体" w:eastAsia="宋体" w:cs="宋体"/>
                <w:spacing w:val="6"/>
                <w:sz w:val="20"/>
                <w:szCs w:val="20"/>
              </w:rPr>
              <w:t>编写人</w:t>
            </w:r>
          </w:p>
        </w:tc>
        <w:tc>
          <w:tcPr>
            <w:tcW w:w="1150" w:type="dxa"/>
            <w:vAlign w:val="top"/>
          </w:tcPr>
          <w:p w14:paraId="60417F7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310" w:leftChars="0"/>
              <w:textAlignment w:val="baseline"/>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vAlign w:val="top"/>
          </w:tcPr>
          <w:p w14:paraId="01FFF2FD">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311" w:leftChars="0"/>
              <w:textAlignment w:val="baseline"/>
              <w:rPr>
                <w:rFonts w:hint="eastAsia" w:ascii="宋体" w:hAnsi="宋体" w:eastAsia="宋体" w:cs="宋体"/>
                <w:sz w:val="20"/>
                <w:szCs w:val="20"/>
              </w:rPr>
            </w:pPr>
            <w:r>
              <w:rPr>
                <w:rFonts w:ascii="宋体" w:hAnsi="宋体" w:eastAsia="宋体" w:cs="宋体"/>
                <w:spacing w:val="7"/>
                <w:sz w:val="20"/>
                <w:szCs w:val="20"/>
              </w:rPr>
              <w:t>批准人</w:t>
            </w:r>
          </w:p>
        </w:tc>
      </w:tr>
      <w:tr w14:paraId="3B2221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vAlign w:val="top"/>
          </w:tcPr>
          <w:p w14:paraId="630DE16E">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260" w:leftChars="0"/>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04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vAlign w:val="top"/>
          </w:tcPr>
          <w:p w14:paraId="6C69B0A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248" w:leftChars="0"/>
              <w:textAlignment w:val="baseline"/>
              <w:rPr>
                <w:rFonts w:hint="eastAsia" w:ascii="宋体" w:hAnsi="宋体" w:eastAsia="宋体" w:cs="宋体"/>
                <w:sz w:val="20"/>
                <w:szCs w:val="20"/>
              </w:rPr>
            </w:pPr>
            <w:r>
              <w:rPr>
                <w:rFonts w:ascii="宋体" w:hAnsi="宋体" w:eastAsia="宋体" w:cs="宋体"/>
                <w:spacing w:val="4"/>
                <w:position w:val="1"/>
                <w:sz w:val="20"/>
                <w:szCs w:val="20"/>
              </w:rPr>
              <w:t>V1.0</w:t>
            </w:r>
          </w:p>
        </w:tc>
        <w:tc>
          <w:tcPr>
            <w:tcW w:w="2289" w:type="dxa"/>
            <w:vAlign w:val="top"/>
          </w:tcPr>
          <w:p w14:paraId="433F3574">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114" w:leftChars="0"/>
              <w:jc w:val="center"/>
              <w:textAlignment w:val="baseline"/>
              <w:rPr>
                <w:rFonts w:hint="eastAsia"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510B63A7">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leftChars="0"/>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vAlign w:val="top"/>
          </w:tcPr>
          <w:p w14:paraId="316EE81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leftChars="0"/>
              <w:textAlignment w:val="baseline"/>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89953239"/>
                <w:lang w:val="en-US" w:eastAsia="zh-CN"/>
              </w:rPr>
              <w:t>宋</w:t>
            </w:r>
            <w:r>
              <w:rPr>
                <w:rFonts w:hint="eastAsia" w:ascii="宋体" w:hAnsi="宋体" w:eastAsia="宋体" w:cs="宋体"/>
                <w:spacing w:val="0"/>
                <w:kern w:val="0"/>
                <w:sz w:val="20"/>
                <w:szCs w:val="20"/>
                <w:fitText w:val="600" w:id="189953239"/>
                <w:lang w:val="en-US" w:eastAsia="zh-CN"/>
              </w:rPr>
              <w:t>振</w:t>
            </w:r>
          </w:p>
        </w:tc>
        <w:tc>
          <w:tcPr>
            <w:tcW w:w="1240" w:type="dxa"/>
            <w:vAlign w:val="top"/>
          </w:tcPr>
          <w:p w14:paraId="1F0F140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leftChars="0"/>
              <w:textAlignment w:val="baseline"/>
              <w:rPr>
                <w:rFonts w:hint="eastAsia"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3BEFBB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3A2ED8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4FF2906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77D076B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355B75B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textAlignment w:val="baseline"/>
            </w:pPr>
          </w:p>
        </w:tc>
        <w:tc>
          <w:tcPr>
            <w:tcW w:w="1150" w:type="dxa"/>
          </w:tcPr>
          <w:p w14:paraId="25C5A869">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textAlignment w:val="baseline"/>
            </w:pPr>
          </w:p>
        </w:tc>
        <w:tc>
          <w:tcPr>
            <w:tcW w:w="1240" w:type="dxa"/>
          </w:tcPr>
          <w:p w14:paraId="483A9FE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19659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22C30E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1BC94A6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2CF7360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5B279D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textAlignment w:val="baseline"/>
            </w:pPr>
          </w:p>
        </w:tc>
        <w:tc>
          <w:tcPr>
            <w:tcW w:w="1150" w:type="dxa"/>
          </w:tcPr>
          <w:p w14:paraId="7BCD2E5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textAlignment w:val="baseline"/>
            </w:pPr>
          </w:p>
        </w:tc>
        <w:tc>
          <w:tcPr>
            <w:tcW w:w="1240" w:type="dxa"/>
          </w:tcPr>
          <w:p w14:paraId="3DFC626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5E67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FB5F7A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68900E4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64E82F7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090859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51343DB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6121B5F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FD01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6F5B5F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264D192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0BB4DC4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0DE80B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2E25669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2616BF4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4302D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22488C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75049A0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155176C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74A834C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60FAD71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168ADDD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2BFB8F8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841FD3C">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2A2A803">
          <w:pPr>
            <w:pStyle w:val="16"/>
            <w:tabs>
              <w:tab w:val="right" w:leader="dot" w:pos="8306"/>
            </w:tabs>
          </w:pPr>
          <w:bookmarkStart w:id="16" w:name="_GoBack"/>
          <w:bookmarkEnd w:id="16"/>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_Toc27007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_Toc27007 \h </w:instrText>
          </w:r>
          <w:r>
            <w:fldChar w:fldCharType="separate"/>
          </w:r>
          <w:r>
            <w:t>1</w:t>
          </w:r>
          <w:r>
            <w:fldChar w:fldCharType="end"/>
          </w:r>
          <w:r>
            <w:rPr>
              <w:rFonts w:hint="eastAsia" w:ascii="宋体" w:hAnsi="宋体" w:eastAsia="宋体" w:cs="宋体"/>
              <w:szCs w:val="24"/>
            </w:rPr>
            <w:fldChar w:fldCharType="end"/>
          </w:r>
        </w:p>
        <w:p w14:paraId="0B189AA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_Toc32140 </w:instrText>
          </w:r>
          <w:r>
            <w:rPr>
              <w:rFonts w:hint="eastAsia" w:ascii="宋体" w:hAnsi="宋体" w:eastAsia="宋体" w:cs="宋体"/>
              <w:szCs w:val="24"/>
            </w:rPr>
            <w:fldChar w:fldCharType="separate"/>
          </w:r>
          <w:r>
            <w:rPr>
              <w:rFonts w:hint="eastAsia"/>
              <w:szCs w:val="44"/>
              <w:lang w:val="en-US" w:eastAsia="zh-CN"/>
            </w:rPr>
            <w:t>烟台林海嵎峡田综合体智慧农业大数据平台建设项目阶段性总结报告</w:t>
          </w:r>
          <w:r>
            <w:tab/>
          </w:r>
          <w:r>
            <w:fldChar w:fldCharType="begin"/>
          </w:r>
          <w:r>
            <w:instrText xml:space="preserve"> PAGEREF _Toc32140 \h </w:instrText>
          </w:r>
          <w:r>
            <w:fldChar w:fldCharType="separate"/>
          </w:r>
          <w:r>
            <w:t>1</w:t>
          </w:r>
          <w:r>
            <w:fldChar w:fldCharType="end"/>
          </w:r>
          <w:r>
            <w:rPr>
              <w:rFonts w:hint="eastAsia" w:ascii="宋体" w:hAnsi="宋体" w:eastAsia="宋体" w:cs="宋体"/>
              <w:szCs w:val="24"/>
            </w:rPr>
            <w:fldChar w:fldCharType="end"/>
          </w:r>
        </w:p>
        <w:p w14:paraId="6835CB8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_Toc10810 </w:instrText>
          </w:r>
          <w:r>
            <w:rPr>
              <w:rFonts w:hint="eastAsia" w:ascii="宋体" w:hAnsi="宋体" w:eastAsia="宋体" w:cs="宋体"/>
              <w:szCs w:val="24"/>
            </w:rPr>
            <w:fldChar w:fldCharType="separate"/>
          </w:r>
          <w:r>
            <w:rPr>
              <w:rFonts w:hint="default"/>
              <w:lang w:val="en-US" w:eastAsia="zh-CN"/>
            </w:rPr>
            <w:t>1. 阶段概述与目标回顾</w:t>
          </w:r>
          <w:r>
            <w:tab/>
          </w:r>
          <w:r>
            <w:fldChar w:fldCharType="begin"/>
          </w:r>
          <w:r>
            <w:instrText xml:space="preserve"> PAGEREF _Toc10810 \h </w:instrText>
          </w:r>
          <w:r>
            <w:fldChar w:fldCharType="separate"/>
          </w:r>
          <w:r>
            <w:t>4</w:t>
          </w:r>
          <w:r>
            <w:fldChar w:fldCharType="end"/>
          </w:r>
          <w:r>
            <w:rPr>
              <w:rFonts w:hint="eastAsia" w:ascii="宋体" w:hAnsi="宋体" w:eastAsia="宋体" w:cs="宋体"/>
              <w:szCs w:val="24"/>
            </w:rPr>
            <w:fldChar w:fldCharType="end"/>
          </w:r>
        </w:p>
        <w:p w14:paraId="24D8333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_Toc19485 </w:instrText>
          </w:r>
          <w:r>
            <w:rPr>
              <w:rFonts w:hint="eastAsia" w:ascii="宋体" w:hAnsi="宋体" w:eastAsia="宋体" w:cs="宋体"/>
              <w:szCs w:val="24"/>
            </w:rPr>
            <w:fldChar w:fldCharType="separate"/>
          </w:r>
          <w:r>
            <w:rPr>
              <w:rFonts w:hint="default"/>
              <w:lang w:val="en-US" w:eastAsia="zh-CN"/>
            </w:rPr>
            <w:t>2. 主要工作成果与完成情况</w:t>
          </w:r>
          <w:r>
            <w:tab/>
          </w:r>
          <w:r>
            <w:fldChar w:fldCharType="begin"/>
          </w:r>
          <w:r>
            <w:instrText xml:space="preserve"> PAGEREF _Toc19485 \h </w:instrText>
          </w:r>
          <w:r>
            <w:fldChar w:fldCharType="separate"/>
          </w:r>
          <w:r>
            <w:t>4</w:t>
          </w:r>
          <w:r>
            <w:fldChar w:fldCharType="end"/>
          </w:r>
          <w:r>
            <w:rPr>
              <w:rFonts w:hint="eastAsia" w:ascii="宋体" w:hAnsi="宋体" w:eastAsia="宋体" w:cs="宋体"/>
              <w:szCs w:val="24"/>
            </w:rPr>
            <w:fldChar w:fldCharType="end"/>
          </w:r>
        </w:p>
        <w:p w14:paraId="2FDD3B2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_Toc1881 </w:instrText>
          </w:r>
          <w:r>
            <w:rPr>
              <w:rFonts w:hint="eastAsia" w:ascii="宋体" w:hAnsi="宋体" w:eastAsia="宋体" w:cs="宋体"/>
              <w:szCs w:val="24"/>
            </w:rPr>
            <w:fldChar w:fldCharType="separate"/>
          </w:r>
          <w:r>
            <w:rPr>
              <w:rFonts w:hint="default"/>
              <w:lang w:val="en-US" w:eastAsia="zh-CN"/>
            </w:rPr>
            <w:t>2.1. 硬件部署与基础设施建设</w:t>
          </w:r>
          <w:r>
            <w:tab/>
          </w:r>
          <w:r>
            <w:fldChar w:fldCharType="begin"/>
          </w:r>
          <w:r>
            <w:instrText xml:space="preserve"> PAGEREF _Toc1881 \h </w:instrText>
          </w:r>
          <w:r>
            <w:fldChar w:fldCharType="separate"/>
          </w:r>
          <w:r>
            <w:t>4</w:t>
          </w:r>
          <w:r>
            <w:fldChar w:fldCharType="end"/>
          </w:r>
          <w:r>
            <w:rPr>
              <w:rFonts w:hint="eastAsia" w:ascii="宋体" w:hAnsi="宋体" w:eastAsia="宋体" w:cs="宋体"/>
              <w:szCs w:val="24"/>
            </w:rPr>
            <w:fldChar w:fldCharType="end"/>
          </w:r>
        </w:p>
        <w:p w14:paraId="1F886E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_Toc26856 </w:instrText>
          </w:r>
          <w:r>
            <w:rPr>
              <w:rFonts w:hint="eastAsia" w:ascii="宋体" w:hAnsi="宋体" w:eastAsia="宋体" w:cs="宋体"/>
              <w:szCs w:val="24"/>
            </w:rPr>
            <w:fldChar w:fldCharType="separate"/>
          </w:r>
          <w:r>
            <w:rPr>
              <w:rFonts w:hint="default"/>
              <w:lang w:val="en-US" w:eastAsia="zh-CN"/>
            </w:rPr>
            <w:t>2.2. 智慧农业大数据平台软件开发</w:t>
          </w:r>
          <w:r>
            <w:tab/>
          </w:r>
          <w:r>
            <w:fldChar w:fldCharType="begin"/>
          </w:r>
          <w:r>
            <w:instrText xml:space="preserve"> PAGEREF _Toc26856 \h </w:instrText>
          </w:r>
          <w:r>
            <w:fldChar w:fldCharType="separate"/>
          </w:r>
          <w:r>
            <w:t>4</w:t>
          </w:r>
          <w:r>
            <w:fldChar w:fldCharType="end"/>
          </w:r>
          <w:r>
            <w:rPr>
              <w:rFonts w:hint="eastAsia" w:ascii="宋体" w:hAnsi="宋体" w:eastAsia="宋体" w:cs="宋体"/>
              <w:szCs w:val="24"/>
            </w:rPr>
            <w:fldChar w:fldCharType="end"/>
          </w:r>
        </w:p>
        <w:p w14:paraId="181565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_Toc26789 </w:instrText>
          </w:r>
          <w:r>
            <w:rPr>
              <w:rFonts w:hint="eastAsia" w:ascii="宋体" w:hAnsi="宋体" w:eastAsia="宋体" w:cs="宋体"/>
              <w:szCs w:val="24"/>
            </w:rPr>
            <w:fldChar w:fldCharType="separate"/>
          </w:r>
          <w:r>
            <w:rPr>
              <w:rFonts w:hint="default"/>
              <w:lang w:val="en-US" w:eastAsia="zh-CN"/>
            </w:rPr>
            <w:t>2.3. 数据清洗专项工作</w:t>
          </w:r>
          <w:r>
            <w:tab/>
          </w:r>
          <w:r>
            <w:fldChar w:fldCharType="begin"/>
          </w:r>
          <w:r>
            <w:instrText xml:space="preserve"> PAGEREF _Toc26789 \h </w:instrText>
          </w:r>
          <w:r>
            <w:fldChar w:fldCharType="separate"/>
          </w:r>
          <w:r>
            <w:t>4</w:t>
          </w:r>
          <w:r>
            <w:fldChar w:fldCharType="end"/>
          </w:r>
          <w:r>
            <w:rPr>
              <w:rFonts w:hint="eastAsia" w:ascii="宋体" w:hAnsi="宋体" w:eastAsia="宋体" w:cs="宋体"/>
              <w:szCs w:val="24"/>
            </w:rPr>
            <w:fldChar w:fldCharType="end"/>
          </w:r>
        </w:p>
        <w:p w14:paraId="7A4E74A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_Toc8608 </w:instrText>
          </w:r>
          <w:r>
            <w:rPr>
              <w:rFonts w:hint="eastAsia" w:ascii="宋体" w:hAnsi="宋体" w:eastAsia="宋体" w:cs="宋体"/>
              <w:szCs w:val="24"/>
            </w:rPr>
            <w:fldChar w:fldCharType="separate"/>
          </w:r>
          <w:r>
            <w:rPr>
              <w:rFonts w:hint="default"/>
              <w:lang w:val="en-US" w:eastAsia="zh-CN"/>
            </w:rPr>
            <w:t>2.4. 系统集成与联合调试</w:t>
          </w:r>
          <w:r>
            <w:tab/>
          </w:r>
          <w:r>
            <w:fldChar w:fldCharType="begin"/>
          </w:r>
          <w:r>
            <w:instrText xml:space="preserve"> PAGEREF _Toc8608 \h </w:instrText>
          </w:r>
          <w:r>
            <w:fldChar w:fldCharType="separate"/>
          </w:r>
          <w:r>
            <w:t>5</w:t>
          </w:r>
          <w:r>
            <w:fldChar w:fldCharType="end"/>
          </w:r>
          <w:r>
            <w:rPr>
              <w:rFonts w:hint="eastAsia" w:ascii="宋体" w:hAnsi="宋体" w:eastAsia="宋体" w:cs="宋体"/>
              <w:szCs w:val="24"/>
            </w:rPr>
            <w:fldChar w:fldCharType="end"/>
          </w:r>
        </w:p>
        <w:p w14:paraId="29931F3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_Toc7628 </w:instrText>
          </w:r>
          <w:r>
            <w:rPr>
              <w:rFonts w:hint="eastAsia" w:ascii="宋体" w:hAnsi="宋体" w:eastAsia="宋体" w:cs="宋体"/>
              <w:szCs w:val="24"/>
            </w:rPr>
            <w:fldChar w:fldCharType="separate"/>
          </w:r>
          <w:r>
            <w:rPr>
              <w:rFonts w:hint="default"/>
              <w:lang w:val="en-US" w:eastAsia="zh-CN"/>
            </w:rPr>
            <w:t>3. 关键绩效指标（KPI）与交付物达成情况</w:t>
          </w:r>
          <w:r>
            <w:tab/>
          </w:r>
          <w:r>
            <w:fldChar w:fldCharType="begin"/>
          </w:r>
          <w:r>
            <w:instrText xml:space="preserve"> PAGEREF _Toc7628 \h </w:instrText>
          </w:r>
          <w:r>
            <w:fldChar w:fldCharType="separate"/>
          </w:r>
          <w:r>
            <w:t>5</w:t>
          </w:r>
          <w:r>
            <w:fldChar w:fldCharType="end"/>
          </w:r>
          <w:r>
            <w:rPr>
              <w:rFonts w:hint="eastAsia" w:ascii="宋体" w:hAnsi="宋体" w:eastAsia="宋体" w:cs="宋体"/>
              <w:szCs w:val="24"/>
            </w:rPr>
            <w:fldChar w:fldCharType="end"/>
          </w:r>
        </w:p>
        <w:p w14:paraId="4D47376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_Toc1242 </w:instrText>
          </w:r>
          <w:r>
            <w:rPr>
              <w:rFonts w:hint="eastAsia" w:ascii="宋体" w:hAnsi="宋体" w:eastAsia="宋体" w:cs="宋体"/>
              <w:szCs w:val="24"/>
            </w:rPr>
            <w:fldChar w:fldCharType="separate"/>
          </w:r>
          <w:r>
            <w:rPr>
              <w:rFonts w:hint="default"/>
              <w:lang w:val="en-US" w:eastAsia="zh-CN"/>
            </w:rPr>
            <w:t>4. 遇到的问题、解决方案与经验总结</w:t>
          </w:r>
          <w:r>
            <w:tab/>
          </w:r>
          <w:r>
            <w:fldChar w:fldCharType="begin"/>
          </w:r>
          <w:r>
            <w:instrText xml:space="preserve"> PAGEREF _Toc1242 \h </w:instrText>
          </w:r>
          <w:r>
            <w:fldChar w:fldCharType="separate"/>
          </w:r>
          <w:r>
            <w:t>5</w:t>
          </w:r>
          <w:r>
            <w:fldChar w:fldCharType="end"/>
          </w:r>
          <w:r>
            <w:rPr>
              <w:rFonts w:hint="eastAsia" w:ascii="宋体" w:hAnsi="宋体" w:eastAsia="宋体" w:cs="宋体"/>
              <w:szCs w:val="24"/>
            </w:rPr>
            <w:fldChar w:fldCharType="end"/>
          </w:r>
        </w:p>
        <w:p w14:paraId="28F25C4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_Toc2603 </w:instrText>
          </w:r>
          <w:r>
            <w:rPr>
              <w:rFonts w:hint="eastAsia" w:ascii="宋体" w:hAnsi="宋体" w:eastAsia="宋体" w:cs="宋体"/>
              <w:szCs w:val="24"/>
            </w:rPr>
            <w:fldChar w:fldCharType="separate"/>
          </w:r>
          <w:r>
            <w:rPr>
              <w:rFonts w:hint="default"/>
              <w:lang w:val="en-US" w:eastAsia="zh-CN"/>
            </w:rPr>
            <w:t>4.1. 主要问题与挑战</w:t>
          </w:r>
          <w:r>
            <w:tab/>
          </w:r>
          <w:r>
            <w:fldChar w:fldCharType="begin"/>
          </w:r>
          <w:r>
            <w:instrText xml:space="preserve"> PAGEREF _Toc2603 \h </w:instrText>
          </w:r>
          <w:r>
            <w:fldChar w:fldCharType="separate"/>
          </w:r>
          <w:r>
            <w:t>5</w:t>
          </w:r>
          <w:r>
            <w:fldChar w:fldCharType="end"/>
          </w:r>
          <w:r>
            <w:rPr>
              <w:rFonts w:hint="eastAsia" w:ascii="宋体" w:hAnsi="宋体" w:eastAsia="宋体" w:cs="宋体"/>
              <w:szCs w:val="24"/>
            </w:rPr>
            <w:fldChar w:fldCharType="end"/>
          </w:r>
        </w:p>
        <w:p w14:paraId="5130F97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_Toc9016 </w:instrText>
          </w:r>
          <w:r>
            <w:rPr>
              <w:rFonts w:hint="eastAsia" w:ascii="宋体" w:hAnsi="宋体" w:eastAsia="宋体" w:cs="宋体"/>
              <w:szCs w:val="24"/>
            </w:rPr>
            <w:fldChar w:fldCharType="separate"/>
          </w:r>
          <w:r>
            <w:rPr>
              <w:rFonts w:hint="default"/>
              <w:lang w:val="en-US" w:eastAsia="zh-CN"/>
            </w:rPr>
            <w:t>4.2. 解决方案与措施</w:t>
          </w:r>
          <w:r>
            <w:tab/>
          </w:r>
          <w:r>
            <w:fldChar w:fldCharType="begin"/>
          </w:r>
          <w:r>
            <w:instrText xml:space="preserve"> PAGEREF _Toc9016 \h </w:instrText>
          </w:r>
          <w:r>
            <w:fldChar w:fldCharType="separate"/>
          </w:r>
          <w:r>
            <w:t>5</w:t>
          </w:r>
          <w:r>
            <w:fldChar w:fldCharType="end"/>
          </w:r>
          <w:r>
            <w:rPr>
              <w:rFonts w:hint="eastAsia" w:ascii="宋体" w:hAnsi="宋体" w:eastAsia="宋体" w:cs="宋体"/>
              <w:szCs w:val="24"/>
            </w:rPr>
            <w:fldChar w:fldCharType="end"/>
          </w:r>
        </w:p>
        <w:p w14:paraId="7EA167A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_Toc5064 </w:instrText>
          </w:r>
          <w:r>
            <w:rPr>
              <w:rFonts w:hint="eastAsia" w:ascii="宋体" w:hAnsi="宋体" w:eastAsia="宋体" w:cs="宋体"/>
              <w:szCs w:val="24"/>
            </w:rPr>
            <w:fldChar w:fldCharType="separate"/>
          </w:r>
          <w:r>
            <w:rPr>
              <w:rFonts w:hint="default"/>
              <w:lang w:val="en-US" w:eastAsia="zh-CN"/>
            </w:rPr>
            <w:t>4.3. 经验总结</w:t>
          </w:r>
          <w:r>
            <w:tab/>
          </w:r>
          <w:r>
            <w:fldChar w:fldCharType="begin"/>
          </w:r>
          <w:r>
            <w:instrText xml:space="preserve"> PAGEREF _Toc5064 \h </w:instrText>
          </w:r>
          <w:r>
            <w:fldChar w:fldCharType="separate"/>
          </w:r>
          <w:r>
            <w:t>6</w:t>
          </w:r>
          <w:r>
            <w:fldChar w:fldCharType="end"/>
          </w:r>
          <w:r>
            <w:rPr>
              <w:rFonts w:hint="eastAsia" w:ascii="宋体" w:hAnsi="宋体" w:eastAsia="宋体" w:cs="宋体"/>
              <w:szCs w:val="24"/>
            </w:rPr>
            <w:fldChar w:fldCharType="end"/>
          </w:r>
        </w:p>
        <w:p w14:paraId="29B30AF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_Toc10980 </w:instrText>
          </w:r>
          <w:r>
            <w:rPr>
              <w:rFonts w:hint="eastAsia" w:ascii="宋体" w:hAnsi="宋体" w:eastAsia="宋体" w:cs="宋体"/>
              <w:szCs w:val="24"/>
            </w:rPr>
            <w:fldChar w:fldCharType="separate"/>
          </w:r>
          <w:r>
            <w:rPr>
              <w:rFonts w:hint="default"/>
              <w:lang w:val="en-US" w:eastAsia="zh-CN"/>
            </w:rPr>
            <w:t>5. 下一阶段详细计划</w:t>
          </w:r>
          <w:r>
            <w:tab/>
          </w:r>
          <w:r>
            <w:fldChar w:fldCharType="begin"/>
          </w:r>
          <w:r>
            <w:instrText xml:space="preserve"> PAGEREF _Toc10980 \h </w:instrText>
          </w:r>
          <w:r>
            <w:fldChar w:fldCharType="separate"/>
          </w:r>
          <w:r>
            <w:t>6</w:t>
          </w:r>
          <w:r>
            <w:fldChar w:fldCharType="end"/>
          </w:r>
          <w:r>
            <w:rPr>
              <w:rFonts w:hint="eastAsia" w:ascii="宋体" w:hAnsi="宋体" w:eastAsia="宋体" w:cs="宋体"/>
              <w:szCs w:val="24"/>
            </w:rPr>
            <w:fldChar w:fldCharType="end"/>
          </w:r>
        </w:p>
        <w:p w14:paraId="11CB849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_Toc5976 </w:instrText>
          </w:r>
          <w:r>
            <w:rPr>
              <w:rFonts w:hint="eastAsia" w:ascii="宋体" w:hAnsi="宋体" w:eastAsia="宋体" w:cs="宋体"/>
              <w:szCs w:val="24"/>
            </w:rPr>
            <w:fldChar w:fldCharType="separate"/>
          </w:r>
          <w:r>
            <w:rPr>
              <w:rFonts w:hint="default"/>
              <w:lang w:val="en-US" w:eastAsia="zh-CN"/>
            </w:rPr>
            <w:t>6. 当前主要风险评估与建议</w:t>
          </w:r>
          <w:r>
            <w:tab/>
          </w:r>
          <w:r>
            <w:fldChar w:fldCharType="begin"/>
          </w:r>
          <w:r>
            <w:instrText xml:space="preserve"> PAGEREF _Toc5976 \h </w:instrText>
          </w:r>
          <w:r>
            <w:fldChar w:fldCharType="separate"/>
          </w:r>
          <w:r>
            <w:t>7</w:t>
          </w:r>
          <w:r>
            <w:fldChar w:fldCharType="end"/>
          </w:r>
          <w:r>
            <w:rPr>
              <w:rFonts w:hint="eastAsia" w:ascii="宋体" w:hAnsi="宋体" w:eastAsia="宋体" w:cs="宋体"/>
              <w:szCs w:val="24"/>
            </w:rPr>
            <w:fldChar w:fldCharType="end"/>
          </w:r>
        </w:p>
        <w:p w14:paraId="56088F1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_Toc14357 </w:instrText>
          </w:r>
          <w:r>
            <w:rPr>
              <w:rFonts w:hint="eastAsia" w:ascii="宋体" w:hAnsi="宋体" w:eastAsia="宋体" w:cs="宋体"/>
              <w:szCs w:val="24"/>
            </w:rPr>
            <w:fldChar w:fldCharType="separate"/>
          </w:r>
          <w:r>
            <w:rPr>
              <w:rFonts w:hint="default"/>
              <w:lang w:val="en-US" w:eastAsia="zh-CN"/>
            </w:rPr>
            <w:t>7. 结论与提请决策事项</w:t>
          </w:r>
          <w:r>
            <w:tab/>
          </w:r>
          <w:r>
            <w:fldChar w:fldCharType="begin"/>
          </w:r>
          <w:r>
            <w:instrText xml:space="preserve"> PAGEREF _Toc14357 \h </w:instrText>
          </w:r>
          <w:r>
            <w:fldChar w:fldCharType="separate"/>
          </w:r>
          <w:r>
            <w:t>7</w:t>
          </w:r>
          <w:r>
            <w:fldChar w:fldCharType="end"/>
          </w:r>
          <w:r>
            <w:rPr>
              <w:rFonts w:hint="eastAsia" w:ascii="宋体" w:hAnsi="宋体" w:eastAsia="宋体" w:cs="宋体"/>
              <w:szCs w:val="24"/>
            </w:rPr>
            <w:fldChar w:fldCharType="end"/>
          </w:r>
        </w:p>
        <w:p w14:paraId="386001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095371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E903FEE">
      <w:pPr>
        <w:pStyle w:val="29"/>
        <w:bidi w:val="0"/>
        <w:rPr>
          <w:rFonts w:hint="default"/>
          <w:lang w:val="en-US" w:eastAsia="zh-CN"/>
        </w:rPr>
      </w:pPr>
      <w:bookmarkStart w:id="2" w:name="_Toc10810"/>
      <w:r>
        <w:rPr>
          <w:rFonts w:hint="default"/>
          <w:lang w:val="en-US" w:eastAsia="zh-CN"/>
        </w:rPr>
        <w:t>阶段概述与目标回顾</w:t>
      </w:r>
      <w:bookmarkEnd w:id="2"/>
    </w:p>
    <w:p w14:paraId="7FC7A2C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旨在对“烟台林海嵎峡田综合体智慧农业大数据平台建设项目”自开工至系统集成联调完毕的关键建设阶段，进行全面总结与评估。本阶段核心目标是完成合同规定的所有硬件安装、软件开发、数据治理及系统集成工作，形成一个具备全部预设功能的、可运行的系统原型，为后续为期一个月的试运行与最终验收奠定坚实基础。</w:t>
      </w:r>
    </w:p>
    <w:p w14:paraId="25A9B5A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阶段工作严格遵循《项目总体实施方案》的规划，涵盖了详细设计、硬件部署、软件开发、数据清洗专项实施及系统集成联调五大核心任务。现将主要工作成果、关键指标达成情况、遇到的问题及下一阶段计划汇报如下。</w:t>
      </w:r>
    </w:p>
    <w:p w14:paraId="534D77B4">
      <w:pPr>
        <w:pStyle w:val="29"/>
        <w:bidi w:val="0"/>
        <w:rPr>
          <w:rFonts w:hint="default"/>
          <w:lang w:val="en-US" w:eastAsia="zh-CN"/>
        </w:rPr>
      </w:pPr>
      <w:bookmarkStart w:id="3" w:name="_Toc19485"/>
      <w:r>
        <w:rPr>
          <w:rFonts w:hint="default"/>
          <w:lang w:val="en-US" w:eastAsia="zh-CN"/>
        </w:rPr>
        <w:t>主要工作成果与完成情况</w:t>
      </w:r>
      <w:bookmarkEnd w:id="3"/>
    </w:p>
    <w:p w14:paraId="49BBB069">
      <w:pPr>
        <w:pStyle w:val="31"/>
        <w:bidi w:val="0"/>
        <w:rPr>
          <w:rFonts w:hint="default"/>
          <w:lang w:val="en-US" w:eastAsia="zh-CN"/>
        </w:rPr>
      </w:pPr>
      <w:bookmarkStart w:id="4" w:name="_Toc1881"/>
      <w:r>
        <w:rPr>
          <w:rFonts w:hint="default"/>
          <w:lang w:val="en-US" w:eastAsia="zh-CN"/>
        </w:rPr>
        <w:t>硬件部署与基础设施建设</w:t>
      </w:r>
      <w:bookmarkEnd w:id="4"/>
    </w:p>
    <w:p w14:paraId="4923A90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严格按照合同附件《供货清单》及设计图纸，完成全部硬件设备的到货、验收、安装与单体调试。具体包括：园区全域共计112台各类摄像机的安装与点位调优；网络系统（光缆敷设、交换机配置）的全面打通；中心机房内服务器、存储、大屏及配套设施的部署上架；以及太阳能供电系统等基础设施的建设和接入。所有设备安装牢固，线路规范，通过了内部三级质量检验，并于3月25日完成与甲方的联合现场踏勘确认。</w:t>
      </w:r>
    </w:p>
    <w:p w14:paraId="1EA189C7">
      <w:pPr>
        <w:pStyle w:val="31"/>
        <w:bidi w:val="0"/>
        <w:rPr>
          <w:rFonts w:hint="default"/>
          <w:lang w:val="en-US" w:eastAsia="zh-CN"/>
        </w:rPr>
      </w:pPr>
      <w:bookmarkStart w:id="5" w:name="_Toc26856"/>
      <w:r>
        <w:rPr>
          <w:rFonts w:hint="default"/>
          <w:lang w:val="en-US" w:eastAsia="zh-CN"/>
        </w:rPr>
        <w:t>智慧农业大数据平台软件开发</w:t>
      </w:r>
      <w:bookmarkEnd w:id="5"/>
    </w:p>
    <w:p w14:paraId="1187864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平台软件V1.0版本已开发部署完毕。核心功能模块，包括全域视频监控、物联网数据接入与展示、AI智能分析事件中心、基础GIS地图服务、综合运营数据看板等均已实现。平台用户界面已完成与甲方业务部门的初步评审与优化，具备基础的用户操作与权限管理功能。</w:t>
      </w:r>
    </w:p>
    <w:p w14:paraId="1E58F889">
      <w:pPr>
        <w:pStyle w:val="31"/>
        <w:bidi w:val="0"/>
        <w:rPr>
          <w:rFonts w:hint="default"/>
          <w:lang w:val="en-US" w:eastAsia="zh-CN"/>
        </w:rPr>
      </w:pPr>
      <w:bookmarkStart w:id="6" w:name="_Toc26789"/>
      <w:r>
        <w:rPr>
          <w:rFonts w:hint="default"/>
          <w:lang w:val="en-US" w:eastAsia="zh-CN"/>
        </w:rPr>
        <w:t>数据清洗专项工作</w:t>
      </w:r>
      <w:bookmarkEnd w:id="6"/>
    </w:p>
    <w:p w14:paraId="26439AC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作为项目的关键专项，数据清洗工作已依据《数据清洗策略方案》完成实施。针对视频、传感器、日志、业务四类数据域的清洗规则已完成开发、测试并部署上线。初步监控数据显示，数据接入通道稳定，基础清洗逻辑运行正常。专项的《数据清洗模块测试报告》已作为独立交付物提交。</w:t>
      </w:r>
    </w:p>
    <w:p w14:paraId="0549F57A">
      <w:pPr>
        <w:pStyle w:val="31"/>
        <w:bidi w:val="0"/>
        <w:rPr>
          <w:rFonts w:hint="default"/>
          <w:lang w:val="en-US" w:eastAsia="zh-CN"/>
        </w:rPr>
      </w:pPr>
      <w:bookmarkStart w:id="7" w:name="_Toc8608"/>
      <w:r>
        <w:rPr>
          <w:rFonts w:hint="default"/>
          <w:lang w:val="en-US" w:eastAsia="zh-CN"/>
        </w:rPr>
        <w:t>系统集成与联合调试</w:t>
      </w:r>
      <w:bookmarkEnd w:id="7"/>
    </w:p>
    <w:p w14:paraId="58D1FB0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3月10日起，项目组组织了为期三周的系统集成联调。截至目前，已完成软硬件连通性测试、主要业务场景的功能串联测试。视频监控实时调阅、传感器数据历史查询、基础告警触发等核心流程已跑通。联调共发现并记录缺陷58项，其中优先级为“高”的15项已全部修复，剩余43项中、低级缺陷已列入修复计划。</w:t>
      </w:r>
    </w:p>
    <w:p w14:paraId="4513D6D9">
      <w:pPr>
        <w:pStyle w:val="29"/>
        <w:bidi w:val="0"/>
        <w:rPr>
          <w:rFonts w:hint="default"/>
          <w:lang w:val="en-US" w:eastAsia="zh-CN"/>
        </w:rPr>
      </w:pPr>
      <w:bookmarkStart w:id="8" w:name="_Toc7628"/>
      <w:r>
        <w:rPr>
          <w:rFonts w:hint="default"/>
          <w:lang w:val="en-US" w:eastAsia="zh-CN"/>
        </w:rPr>
        <w:t>关键绩效指标（KPI）与交付物达成情况</w:t>
      </w:r>
      <w:bookmarkEnd w:id="8"/>
    </w:p>
    <w:p w14:paraId="702D5A5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阶段计划内的所有关键交付物均已产出并提交评审。硬件方面，提交了完整的《设备安装竣工图册》与《调试报告》。软件方面，提交了《软件系统部署手册》及V1.0版本程序。数据专项方面，提交了《数据清洗实施方法》及《模块测试报告》。管理方面，按计划提交了周报、巡检问题整改报告等过程文件。</w:t>
      </w:r>
    </w:p>
    <w:p w14:paraId="4129544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关键绩效指标上，本阶段聚焦过程性KPI，基本达成目标：项目整体进度符合总计划，偏差控制在5%以内；硬件安装一次验收通过率达到98%；软件系统核心功能实现率为100%；系统集成联调的关键路径任务已全部完成。</w:t>
      </w:r>
    </w:p>
    <w:p w14:paraId="632FEC07">
      <w:pPr>
        <w:pStyle w:val="29"/>
        <w:bidi w:val="0"/>
        <w:rPr>
          <w:rFonts w:hint="default"/>
          <w:lang w:val="en-US" w:eastAsia="zh-CN"/>
        </w:rPr>
      </w:pPr>
      <w:bookmarkStart w:id="9" w:name="_Toc1242"/>
      <w:r>
        <w:rPr>
          <w:rFonts w:hint="default"/>
          <w:lang w:val="en-US" w:eastAsia="zh-CN"/>
        </w:rPr>
        <w:t>遇到的问题、解决方案与经验总结</w:t>
      </w:r>
      <w:bookmarkEnd w:id="9"/>
    </w:p>
    <w:p w14:paraId="3230469F">
      <w:pPr>
        <w:pStyle w:val="31"/>
        <w:bidi w:val="0"/>
        <w:rPr>
          <w:rFonts w:hint="default"/>
          <w:lang w:val="en-US" w:eastAsia="zh-CN"/>
        </w:rPr>
      </w:pPr>
      <w:bookmarkStart w:id="10" w:name="_Toc2603"/>
      <w:r>
        <w:rPr>
          <w:rFonts w:hint="default"/>
          <w:lang w:val="en-US" w:eastAsia="zh-CN"/>
        </w:rPr>
        <w:t>主要问题与挑战</w:t>
      </w:r>
      <w:bookmarkEnd w:id="10"/>
    </w:p>
    <w:p w14:paraId="168A758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技术集成复杂性：多品牌设备（如大华、华为、星网锐捷）在协议兼容性与深度联动上遇到挑战，尤其是报警事件的跨系统无缝推送。</w:t>
      </w:r>
    </w:p>
    <w:p w14:paraId="7401520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需求细节的明确：在开发中期，部分业务场景（如数据分析报表的具体维度）的需求细节经过多轮澄清才得以最终确认。</w:t>
      </w:r>
    </w:p>
    <w:p w14:paraId="45C283B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现场施工协调：园区农业生产与施工并行，对部分点位的安装进度造成一定影响。</w:t>
      </w:r>
    </w:p>
    <w:p w14:paraId="7068BBF9">
      <w:pPr>
        <w:pStyle w:val="31"/>
        <w:bidi w:val="0"/>
        <w:rPr>
          <w:rFonts w:hint="default"/>
          <w:lang w:val="en-US" w:eastAsia="zh-CN"/>
        </w:rPr>
      </w:pPr>
      <w:bookmarkStart w:id="11" w:name="_Toc9016"/>
      <w:r>
        <w:rPr>
          <w:rFonts w:hint="default"/>
          <w:lang w:val="en-US" w:eastAsia="zh-CN"/>
        </w:rPr>
        <w:t>解决方案与措施</w:t>
      </w:r>
      <w:bookmarkEnd w:id="11"/>
    </w:p>
    <w:p w14:paraId="404ACB9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针对技术集成问题，项目组协调原厂技术支持，并投入额外研发资源进行接口适配与中间件开发，确保了技术闭环。</w:t>
      </w:r>
    </w:p>
    <w:p w14:paraId="0D3E592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针对需求问题，与甲方建立了“双周迭代评审会”机制，确保需求理解实时同步、偏差快速纠正。</w:t>
      </w:r>
    </w:p>
    <w:p w14:paraId="6E777A4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针对现场协调，与园区管理方建立了日沟通机制，灵活调整施工计划，将影响降至最低。</w:t>
      </w:r>
    </w:p>
    <w:p w14:paraId="5DF7A363">
      <w:pPr>
        <w:pStyle w:val="31"/>
        <w:bidi w:val="0"/>
        <w:rPr>
          <w:rFonts w:hint="default"/>
          <w:lang w:val="en-US" w:eastAsia="zh-CN"/>
        </w:rPr>
      </w:pPr>
      <w:bookmarkStart w:id="12" w:name="_Toc5064"/>
      <w:r>
        <w:rPr>
          <w:rFonts w:hint="default"/>
          <w:lang w:val="en-US" w:eastAsia="zh-CN"/>
        </w:rPr>
        <w:t>经验总结</w:t>
      </w:r>
      <w:bookmarkEnd w:id="12"/>
    </w:p>
    <w:p w14:paraId="7B1738F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前期技术验证至关重要： 对于复杂集成项目，必须在设计阶段进行关键技术点的原型验证。</w:t>
      </w:r>
    </w:p>
    <w:p w14:paraId="19B538D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敏捷沟通机制有效： 定期的、包含业务与技术人员的评审会是避免项目偏离轨道的有效保障。</w:t>
      </w:r>
    </w:p>
    <w:p w14:paraId="685117E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过程文档实时性： 联调日志、问题清单的细致记录是加速问题排查和团队协作的关键。</w:t>
      </w:r>
    </w:p>
    <w:p w14:paraId="0B604AF6">
      <w:pPr>
        <w:pStyle w:val="29"/>
        <w:bidi w:val="0"/>
        <w:rPr>
          <w:rFonts w:hint="default"/>
          <w:lang w:val="en-US" w:eastAsia="zh-CN"/>
        </w:rPr>
      </w:pPr>
      <w:bookmarkStart w:id="13" w:name="_Toc10980"/>
      <w:r>
        <w:rPr>
          <w:rFonts w:hint="default"/>
          <w:lang w:val="en-US" w:eastAsia="zh-CN"/>
        </w:rPr>
        <w:t>下一阶段详细计划</w:t>
      </w:r>
      <w:bookmarkEnd w:id="13"/>
    </w:p>
    <w:p w14:paraId="03BD12F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项目将于</w:t>
      </w:r>
      <w:r>
        <w:rPr>
          <w:rFonts w:hint="eastAsia"/>
          <w:lang w:val="en-US" w:eastAsia="zh-CN"/>
        </w:rPr>
        <w:t>5</w:t>
      </w:r>
      <w:r>
        <w:rPr>
          <w:rFonts w:hint="default"/>
          <w:lang w:val="en-US" w:eastAsia="zh-CN"/>
        </w:rPr>
        <w:t>月1日正式进入为期一个月的系统试运行与最终验收准备阶段。该阶段核心目标是验证系统的稳定性、可靠性及业务符合度，并完成所有竣工资料的整理。</w:t>
      </w:r>
    </w:p>
    <w:p w14:paraId="69EBDD1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1.试运行计划（</w:t>
      </w:r>
      <w:r>
        <w:rPr>
          <w:rFonts w:hint="eastAsia"/>
          <w:lang w:val="en-US" w:eastAsia="zh-CN"/>
        </w:rPr>
        <w:t>5</w:t>
      </w:r>
      <w:r>
        <w:rPr>
          <w:rFonts w:hint="default"/>
          <w:lang w:val="en-US" w:eastAsia="zh-CN"/>
        </w:rPr>
        <w:t>月1日-</w:t>
      </w:r>
      <w:r>
        <w:rPr>
          <w:rFonts w:hint="eastAsia"/>
          <w:lang w:val="en-US" w:eastAsia="zh-CN"/>
        </w:rPr>
        <w:t>5</w:t>
      </w:r>
      <w:r>
        <w:rPr>
          <w:rFonts w:hint="default"/>
          <w:lang w:val="en-US" w:eastAsia="zh-CN"/>
        </w:rPr>
        <w:t>月25日）</w:t>
      </w:r>
    </w:p>
    <w:p w14:paraId="0E6AF4F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稳定性运行： 系统全功能、全负荷连续运行25天，由甲方业务部门进行实际使用。</w:t>
      </w:r>
    </w:p>
    <w:p w14:paraId="7E421C3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监控与支持： 乙方提供7x24小时技术支持团队，实时监控系统状态，处理试运行期间发现的任何问题。</w:t>
      </w:r>
    </w:p>
    <w:p w14:paraId="04B7914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数据质量考核： 正式启动《数据清洗策略方案》中定义的各项数据质量KPI（如AI识别准确率、数据采集率）的持续测量与记录。</w:t>
      </w:r>
    </w:p>
    <w:p w14:paraId="745E307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2.最终验收准备（</w:t>
      </w:r>
      <w:r>
        <w:rPr>
          <w:rFonts w:hint="eastAsia"/>
          <w:lang w:val="en-US" w:eastAsia="zh-CN"/>
        </w:rPr>
        <w:t>5</w:t>
      </w:r>
      <w:r>
        <w:rPr>
          <w:rFonts w:hint="default"/>
          <w:lang w:val="en-US" w:eastAsia="zh-CN"/>
        </w:rPr>
        <w:t>月26日-</w:t>
      </w:r>
      <w:r>
        <w:rPr>
          <w:rFonts w:hint="eastAsia"/>
          <w:lang w:val="en-US" w:eastAsia="zh-CN"/>
        </w:rPr>
        <w:t>5</w:t>
      </w:r>
      <w:r>
        <w:rPr>
          <w:rFonts w:hint="default"/>
          <w:lang w:val="en-US" w:eastAsia="zh-CN"/>
        </w:rPr>
        <w:t>月30日）</w:t>
      </w:r>
    </w:p>
    <w:p w14:paraId="23971D5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竣工文档汇编：整理并提交全套项目竣工文档，包括最终版设计文档、操作手册、维护手册及所有测试报告。</w:t>
      </w:r>
    </w:p>
    <w:p w14:paraId="0CEB841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验收测试准备：与甲方共同制定详细的《最终验收测试大纲》，明确验收流程、方法与通过标准。</w:t>
      </w:r>
    </w:p>
    <w:p w14:paraId="0AFA5C1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内部预验收： 乙方组织内部预验收，确保所有合同要求均已满足。</w:t>
      </w:r>
    </w:p>
    <w:p w14:paraId="4B8E1AF4">
      <w:pPr>
        <w:pStyle w:val="29"/>
        <w:bidi w:val="0"/>
        <w:rPr>
          <w:rFonts w:hint="default"/>
          <w:lang w:val="en-US" w:eastAsia="zh-CN"/>
        </w:rPr>
      </w:pPr>
      <w:bookmarkStart w:id="14" w:name="_Toc5976"/>
      <w:r>
        <w:rPr>
          <w:rFonts w:hint="default"/>
          <w:lang w:val="en-US" w:eastAsia="zh-CN"/>
        </w:rPr>
        <w:t>当前主要风险评估与建议</w:t>
      </w:r>
      <w:bookmarkEnd w:id="14"/>
    </w:p>
    <w:p w14:paraId="6BB7D80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1. 剩余缺陷修复风险：联调阶段遗留的中低级缺陷可能在试运行期间暴露为高级别问题。</w:t>
      </w:r>
    </w:p>
    <w:p w14:paraId="4487298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 在试运行首周，集中资源完成所有遗留缺陷的修复清零。</w:t>
      </w:r>
    </w:p>
    <w:p w14:paraId="2E3BCA6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 甲方业务侧使用深度风险：试运行期间若甲方业务部门使用不充分，可能掩盖潜在问题。</w:t>
      </w:r>
    </w:p>
    <w:p w14:paraId="6A40D85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建议：联合甲方制定《试运行操作任务表》，引导业务方进行全覆盖、深度的系统使用。</w:t>
      </w:r>
    </w:p>
    <w:p w14:paraId="0C251DD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3. 数据质量KPI达标风险：真实生产环境下的数据质量指标可能初期波动，达不到验收阈值。</w:t>
      </w:r>
    </w:p>
    <w:p w14:paraId="19F8D8E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 建立数据质量日盯盘机制，一旦指标偏离，立即启动数据分析与规则调优。</w:t>
      </w:r>
    </w:p>
    <w:p w14:paraId="442340C9">
      <w:pPr>
        <w:pStyle w:val="29"/>
        <w:bidi w:val="0"/>
        <w:rPr>
          <w:rFonts w:hint="default"/>
          <w:lang w:val="en-US" w:eastAsia="zh-CN"/>
        </w:rPr>
      </w:pPr>
      <w:bookmarkStart w:id="15" w:name="_Toc14357"/>
      <w:r>
        <w:rPr>
          <w:rFonts w:hint="default"/>
          <w:lang w:val="en-US" w:eastAsia="zh-CN"/>
        </w:rPr>
        <w:t>结论与提请决策事项</w:t>
      </w:r>
      <w:bookmarkEnd w:id="15"/>
    </w:p>
    <w:p w14:paraId="201A2A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综上所述，本项目主体建设工作已按计划圆满完成，系统已具备投入试运行的条件。当前项目整体健康度良好，风险可控。</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1AFA7">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27349C"/>
    <w:rsid w:val="010A29DC"/>
    <w:rsid w:val="0116312F"/>
    <w:rsid w:val="01C62F2B"/>
    <w:rsid w:val="02D216D3"/>
    <w:rsid w:val="031C251B"/>
    <w:rsid w:val="05551D4C"/>
    <w:rsid w:val="058368B9"/>
    <w:rsid w:val="071A324D"/>
    <w:rsid w:val="07BE6C93"/>
    <w:rsid w:val="08944817"/>
    <w:rsid w:val="08E80346"/>
    <w:rsid w:val="09D41DD9"/>
    <w:rsid w:val="0A432F22"/>
    <w:rsid w:val="0BDE699E"/>
    <w:rsid w:val="0BF40511"/>
    <w:rsid w:val="0C65576F"/>
    <w:rsid w:val="0CF462EF"/>
    <w:rsid w:val="0E010CC3"/>
    <w:rsid w:val="0F503CB0"/>
    <w:rsid w:val="0FF334F9"/>
    <w:rsid w:val="1081433D"/>
    <w:rsid w:val="10861954"/>
    <w:rsid w:val="10C303F0"/>
    <w:rsid w:val="119B31DD"/>
    <w:rsid w:val="11FA1551"/>
    <w:rsid w:val="13AD44C3"/>
    <w:rsid w:val="13DA44C0"/>
    <w:rsid w:val="146B158C"/>
    <w:rsid w:val="15595889"/>
    <w:rsid w:val="166D72BD"/>
    <w:rsid w:val="176F54E7"/>
    <w:rsid w:val="182B0F6C"/>
    <w:rsid w:val="1850655B"/>
    <w:rsid w:val="19540841"/>
    <w:rsid w:val="19766A09"/>
    <w:rsid w:val="19A22962"/>
    <w:rsid w:val="19CC03D7"/>
    <w:rsid w:val="19DB686C"/>
    <w:rsid w:val="1A116732"/>
    <w:rsid w:val="1A1E49AB"/>
    <w:rsid w:val="1A7C004F"/>
    <w:rsid w:val="1A7F4984"/>
    <w:rsid w:val="1B634D6B"/>
    <w:rsid w:val="1CFF2872"/>
    <w:rsid w:val="1D0333B3"/>
    <w:rsid w:val="1D792624"/>
    <w:rsid w:val="1D9B14B8"/>
    <w:rsid w:val="1DB21FDA"/>
    <w:rsid w:val="1E1F09F2"/>
    <w:rsid w:val="1E641DBE"/>
    <w:rsid w:val="1EC13601"/>
    <w:rsid w:val="1ED335EA"/>
    <w:rsid w:val="1F5A6485"/>
    <w:rsid w:val="1F645556"/>
    <w:rsid w:val="208C005D"/>
    <w:rsid w:val="221B5875"/>
    <w:rsid w:val="22200A78"/>
    <w:rsid w:val="234B6811"/>
    <w:rsid w:val="24267527"/>
    <w:rsid w:val="259049AF"/>
    <w:rsid w:val="262E41C8"/>
    <w:rsid w:val="26405AAC"/>
    <w:rsid w:val="287E31E4"/>
    <w:rsid w:val="2B3B716B"/>
    <w:rsid w:val="2B8642BE"/>
    <w:rsid w:val="2C38364A"/>
    <w:rsid w:val="2CFF066C"/>
    <w:rsid w:val="2D241E80"/>
    <w:rsid w:val="2E075A2A"/>
    <w:rsid w:val="31700927"/>
    <w:rsid w:val="325356E2"/>
    <w:rsid w:val="33A855B9"/>
    <w:rsid w:val="33AB32FB"/>
    <w:rsid w:val="33AF4B9A"/>
    <w:rsid w:val="34E940DB"/>
    <w:rsid w:val="356E638F"/>
    <w:rsid w:val="3623361D"/>
    <w:rsid w:val="36274EBB"/>
    <w:rsid w:val="37683E2E"/>
    <w:rsid w:val="38A81BB8"/>
    <w:rsid w:val="393D2C48"/>
    <w:rsid w:val="396673B2"/>
    <w:rsid w:val="3A59585F"/>
    <w:rsid w:val="3B970A7D"/>
    <w:rsid w:val="3BC8316F"/>
    <w:rsid w:val="3C074E88"/>
    <w:rsid w:val="3CC64D02"/>
    <w:rsid w:val="3D115F7D"/>
    <w:rsid w:val="3D934282"/>
    <w:rsid w:val="3F303FC2"/>
    <w:rsid w:val="3F5D36FC"/>
    <w:rsid w:val="3F731171"/>
    <w:rsid w:val="3F9F1F66"/>
    <w:rsid w:val="40755F06"/>
    <w:rsid w:val="419453CF"/>
    <w:rsid w:val="42764AD5"/>
    <w:rsid w:val="42CE66BF"/>
    <w:rsid w:val="441822E7"/>
    <w:rsid w:val="45A81449"/>
    <w:rsid w:val="466A42B1"/>
    <w:rsid w:val="48111BBD"/>
    <w:rsid w:val="48313466"/>
    <w:rsid w:val="48560E00"/>
    <w:rsid w:val="485633DE"/>
    <w:rsid w:val="49E54A1A"/>
    <w:rsid w:val="4A7424EA"/>
    <w:rsid w:val="4A7E3E3F"/>
    <w:rsid w:val="4AAB6F4F"/>
    <w:rsid w:val="4AAE12AF"/>
    <w:rsid w:val="4AE31708"/>
    <w:rsid w:val="4B63653E"/>
    <w:rsid w:val="4D1B0752"/>
    <w:rsid w:val="4EA4146B"/>
    <w:rsid w:val="50502E09"/>
    <w:rsid w:val="50CF33D6"/>
    <w:rsid w:val="510F4A72"/>
    <w:rsid w:val="51B11685"/>
    <w:rsid w:val="53901588"/>
    <w:rsid w:val="54416941"/>
    <w:rsid w:val="54BC0A6D"/>
    <w:rsid w:val="55D6790C"/>
    <w:rsid w:val="563665FD"/>
    <w:rsid w:val="56F86E76"/>
    <w:rsid w:val="57F30C49"/>
    <w:rsid w:val="58070251"/>
    <w:rsid w:val="58405511"/>
    <w:rsid w:val="588E217A"/>
    <w:rsid w:val="59EC5950"/>
    <w:rsid w:val="5BB16E51"/>
    <w:rsid w:val="5C335AB8"/>
    <w:rsid w:val="5C403D31"/>
    <w:rsid w:val="5C7A36E7"/>
    <w:rsid w:val="5CF03BE9"/>
    <w:rsid w:val="5E0A2849"/>
    <w:rsid w:val="5EC5728B"/>
    <w:rsid w:val="600B28A8"/>
    <w:rsid w:val="60F31CBA"/>
    <w:rsid w:val="611C2FBF"/>
    <w:rsid w:val="617D1584"/>
    <w:rsid w:val="62343023"/>
    <w:rsid w:val="627E05EB"/>
    <w:rsid w:val="636C579C"/>
    <w:rsid w:val="64381A24"/>
    <w:rsid w:val="64563013"/>
    <w:rsid w:val="64A21A2D"/>
    <w:rsid w:val="6511270F"/>
    <w:rsid w:val="652E1513"/>
    <w:rsid w:val="65426E7E"/>
    <w:rsid w:val="65876E75"/>
    <w:rsid w:val="65DF2EAC"/>
    <w:rsid w:val="676B34F8"/>
    <w:rsid w:val="69D63F27"/>
    <w:rsid w:val="69FC2352"/>
    <w:rsid w:val="6B5E1601"/>
    <w:rsid w:val="6CC4450B"/>
    <w:rsid w:val="6CDF4B2B"/>
    <w:rsid w:val="6CF26275"/>
    <w:rsid w:val="6D1014FE"/>
    <w:rsid w:val="6D1F7993"/>
    <w:rsid w:val="6D505D9E"/>
    <w:rsid w:val="6E23799F"/>
    <w:rsid w:val="6F765F90"/>
    <w:rsid w:val="6FA32AFD"/>
    <w:rsid w:val="6FE23364"/>
    <w:rsid w:val="70EB650A"/>
    <w:rsid w:val="71470820"/>
    <w:rsid w:val="71775FF0"/>
    <w:rsid w:val="71D7083C"/>
    <w:rsid w:val="71EC43A2"/>
    <w:rsid w:val="72CE1C3F"/>
    <w:rsid w:val="73B21BD4"/>
    <w:rsid w:val="73C372CA"/>
    <w:rsid w:val="73D47729"/>
    <w:rsid w:val="76143E0D"/>
    <w:rsid w:val="76452218"/>
    <w:rsid w:val="7762504C"/>
    <w:rsid w:val="77CD4BBB"/>
    <w:rsid w:val="7A861051"/>
    <w:rsid w:val="7A936255"/>
    <w:rsid w:val="7ADC6261"/>
    <w:rsid w:val="7B006E3F"/>
    <w:rsid w:val="7B205002"/>
    <w:rsid w:val="7C63789C"/>
    <w:rsid w:val="7C640717"/>
    <w:rsid w:val="7C9537CE"/>
    <w:rsid w:val="7D3B25C7"/>
    <w:rsid w:val="7E6478FC"/>
    <w:rsid w:val="7EB61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table" w:customStyle="1" w:styleId="41">
    <w:name w:val="Table Normal"/>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2556</Words>
  <Characters>2692</Characters>
  <Lines>0</Lines>
  <Paragraphs>0</Paragraphs>
  <TotalTime>0</TotalTime>
  <ScaleCrop>false</ScaleCrop>
  <LinksUpToDate>false</LinksUpToDate>
  <CharactersWithSpaces>2766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2025-12-27T15:38:09Z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