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jc w:val="center"/>
        <w:rPr>
          <w:rFonts w:ascii="微软雅黑" w:eastAsia="微软雅黑" w:hAnsi="微软雅黑" w:cs="Times New Roman" w:hint="eastAsia"/>
          <w:b/>
          <w:color w:val="000000" w:themeColor="text1"/>
          <w:sz w:val="52"/>
          <w:szCs w:val="52"/>
          <w:lang w:val="zh-CN"/>
        </w:rPr>
      </w:pPr>
      <w:bookmarkStart w:id="0" w:name="_Toc18793"/>
      <w:bookmarkStart w:id="1" w:name="_Toc4740"/>
      <w:bookmarkStart w:id="2" w:name="_Toc2464"/>
      <w:bookmarkStart w:id="3" w:name="_Toc19787"/>
      <w:r>
        <w:rPr>
          <w:rFonts w:ascii="微软雅黑" w:eastAsia="微软雅黑" w:hAnsi="微软雅黑" w:cs="Times New Roman" w:hint="eastAsia"/>
          <w:b/>
          <w:color w:val="000000" w:themeColor="text1"/>
          <w:sz w:val="52"/>
          <w:szCs w:val="52"/>
          <w:lang w:val="zh-CN"/>
        </w:rPr>
        <w:t>评估对象简介</w:t>
      </w:r>
      <w:bookmarkEnd w:id="0"/>
      <w:bookmarkEnd w:id="1"/>
      <w:bookmarkEnd w:id="2"/>
    </w:p>
    <w:p>
      <w:pPr>
        <w:pStyle w:val="Heading1"/>
        <w:bidi w:val="0"/>
        <w:rPr>
          <w:rFonts w:hint="eastAsia"/>
          <w:lang w:val="zh-CN"/>
        </w:rPr>
      </w:pPr>
      <w:bookmarkEnd w:id="3"/>
      <w:bookmarkStart w:id="4" w:name="_Toc20246"/>
      <w:bookmarkStart w:id="5" w:name="_Toc3558"/>
      <w:r>
        <w:rPr>
          <w:rFonts w:hint="eastAsia"/>
          <w:lang w:val="zh-CN"/>
        </w:rPr>
        <w:t>基本情况</w:t>
      </w:r>
      <w:bookmarkEnd w:id="4"/>
      <w:bookmarkEnd w:id="5"/>
    </w:p>
    <w:p>
      <w:pPr>
        <w:ind w:firstLine="480" w:firstLineChars="200"/>
        <w:rPr>
          <w:rFonts w:hint="eastAsia"/>
          <w:lang w:val="zh-CN"/>
        </w:rPr>
      </w:pPr>
      <w:r>
        <w:rPr>
          <w:rFonts w:ascii="宋体" w:hAnsi="宋体" w:hint="eastAsia"/>
          <w:color w:val="000000" w:themeColor="text1"/>
          <w:highlight w:val="yellow"/>
        </w:rPr>
        <w:t>评估对象的基本信息：成立时间、发展历程、股东持股信息、自身优势、人员规模、上年度营收情况、整体组织架构、主营业务、企业获得的资质、知识产权拥有情况、数据管理人员获证情况等基本信息。</w:t>
      </w:r>
    </w:p>
    <w:p>
      <w:pPr>
        <w:pStyle w:val="Heading2"/>
        <w:bidi w:val="0"/>
        <w:rPr>
          <w:rFonts w:hint="eastAsia"/>
          <w:lang w:val="en-US" w:eastAsia="zh-CN"/>
        </w:rPr>
      </w:pPr>
      <w:bookmarkStart w:id="6" w:name="_Toc7717"/>
      <w:r>
        <w:rPr>
          <w:rFonts w:hint="eastAsia"/>
        </w:rPr>
        <w:t>企业基本信息</w:t>
      </w:r>
      <w:bookmarkEnd w:id="6"/>
    </w:p>
    <w:p>
      <w:pPr>
        <w:ind w:firstLine="480" w:firstLineChars="200"/>
        <w:rPr>
          <w:rFonts w:ascii="Segoe UI" w:eastAsia="Segoe UI" w:hAnsi="Segoe UI" w:cs="Segoe UI" w:hint="eastAsia"/>
          <w:i w:val="0"/>
          <w:iCs w:val="0"/>
          <w:caps w:val="0"/>
          <w:color w:val="0F1115"/>
          <w:spacing w:val="0"/>
          <w:sz w:val="24"/>
          <w:szCs w:val="24"/>
          <w:shd w:val="clear" w:color="auto" w:fill="FFFFFF"/>
        </w:rPr>
      </w:pPr>
      <w:r>
        <w:rPr>
          <w:rFonts w:ascii="Segoe UI" w:eastAsia="Segoe UI" w:hAnsi="Segoe UI" w:cs="Segoe UI"/>
          <w:i w:val="0"/>
          <w:iCs w:val="0"/>
          <w:caps w:val="0"/>
          <w:color w:val="0F1115"/>
          <w:spacing w:val="0"/>
          <w:sz w:val="24"/>
          <w:szCs w:val="24"/>
          <w:shd w:val="clear" w:color="auto" w:fill="FFFFFF"/>
        </w:rPr>
        <w:t>青岛瑞源工程集团有限公司成立于1997年8月，202</w:t>
      </w:r>
      <w:r>
        <w:rPr>
          <w:rFonts w:ascii="Segoe UI" w:eastAsia="宋体" w:hAnsi="Segoe UI" w:cs="Segoe UI" w:hint="eastAsia"/>
          <w:i w:val="0"/>
          <w:iCs w:val="0"/>
          <w:caps w:val="0"/>
          <w:color w:val="0F1115"/>
          <w:spacing w:val="0"/>
          <w:sz w:val="24"/>
          <w:szCs w:val="24"/>
          <w:shd w:val="clear" w:color="auto" w:fill="FFFFFF"/>
          <w:lang w:val="en-US" w:eastAsia="zh-CN"/>
        </w:rPr>
        <w:t>4</w:t>
      </w:r>
      <w:r>
        <w:rPr>
          <w:rFonts w:ascii="Segoe UI" w:eastAsia="Segoe UI" w:hAnsi="Segoe UI" w:cs="Segoe UI"/>
          <w:i w:val="0"/>
          <w:iCs w:val="0"/>
          <w:caps w:val="0"/>
          <w:color w:val="0F1115"/>
          <w:spacing w:val="0"/>
          <w:sz w:val="24"/>
          <w:szCs w:val="24"/>
          <w:shd w:val="clear" w:color="auto" w:fill="FFFFFF"/>
        </w:rPr>
        <w:t>年全年营业收入约</w:t>
      </w:r>
      <w:r>
        <w:rPr>
          <w:rFonts w:ascii="Segoe UI" w:eastAsia="Segoe UI" w:hAnsi="Segoe UI" w:cs="Segoe UI"/>
          <w:i w:val="0"/>
          <w:iCs w:val="0"/>
          <w:caps w:val="0"/>
          <w:color w:val="FF0000"/>
          <w:spacing w:val="0"/>
          <w:sz w:val="24"/>
          <w:szCs w:val="24"/>
          <w:highlight w:val="yellow"/>
          <w:shd w:val="clear" w:color="auto" w:fill="FFFFFF"/>
        </w:rPr>
        <w:t>120</w:t>
      </w:r>
      <w:r>
        <w:rPr>
          <w:rFonts w:ascii="Segoe UI" w:eastAsia="Segoe UI" w:hAnsi="Segoe UI" w:cs="Segoe UI"/>
          <w:i w:val="0"/>
          <w:iCs w:val="0"/>
          <w:caps w:val="0"/>
          <w:color w:val="0F1115"/>
          <w:spacing w:val="0"/>
          <w:sz w:val="24"/>
          <w:szCs w:val="24"/>
          <w:shd w:val="clear" w:color="auto" w:fill="FFFFFF"/>
        </w:rPr>
        <w:t>亿元，现有员工</w:t>
      </w:r>
      <w:r>
        <w:rPr>
          <w:rFonts w:ascii="Segoe UI" w:eastAsia="宋体" w:hAnsi="Segoe UI" w:cs="Segoe UI" w:hint="eastAsia"/>
          <w:i w:val="0"/>
          <w:iCs w:val="0"/>
          <w:caps w:val="0"/>
          <w:color w:val="0F1115"/>
          <w:spacing w:val="0"/>
          <w:sz w:val="24"/>
          <w:szCs w:val="24"/>
          <w:shd w:val="clear" w:color="auto" w:fill="FFFFFF"/>
          <w:lang w:val="en-US" w:eastAsia="zh-CN"/>
        </w:rPr>
        <w:t>517</w:t>
      </w:r>
      <w:r>
        <w:rPr>
          <w:rFonts w:ascii="Segoe UI" w:eastAsia="Segoe UI" w:hAnsi="Segoe UI" w:cs="Segoe UI"/>
          <w:i w:val="0"/>
          <w:iCs w:val="0"/>
          <w:caps w:val="0"/>
          <w:color w:val="0F1115"/>
          <w:spacing w:val="0"/>
          <w:sz w:val="24"/>
          <w:szCs w:val="24"/>
          <w:shd w:val="clear" w:color="auto" w:fill="FFFFFF"/>
        </w:rPr>
        <w:t>余人。瑞源集团注册资本金</w:t>
      </w:r>
      <w:r>
        <w:rPr>
          <w:rFonts w:ascii="Segoe UI" w:eastAsia="宋体" w:hAnsi="Segoe UI" w:cs="Segoe UI" w:hint="eastAsia"/>
          <w:i w:val="0"/>
          <w:iCs w:val="0"/>
          <w:caps w:val="0"/>
          <w:color w:val="0F1115"/>
          <w:spacing w:val="0"/>
          <w:sz w:val="24"/>
          <w:szCs w:val="24"/>
          <w:shd w:val="clear" w:color="auto" w:fill="FFFFFF"/>
          <w:lang w:val="en-US" w:eastAsia="zh-CN"/>
        </w:rPr>
        <w:t>4.2</w:t>
      </w:r>
      <w:r>
        <w:rPr>
          <w:rFonts w:ascii="Segoe UI" w:eastAsia="Segoe UI" w:hAnsi="Segoe UI" w:cs="Segoe UI"/>
          <w:i w:val="0"/>
          <w:iCs w:val="0"/>
          <w:caps w:val="0"/>
          <w:color w:val="0F1115"/>
          <w:spacing w:val="0"/>
          <w:sz w:val="24"/>
          <w:szCs w:val="24"/>
          <w:shd w:val="clear" w:color="auto" w:fill="FFFFFF"/>
        </w:rPr>
        <w:t>亿元，</w:t>
      </w:r>
      <w:r>
        <w:rPr>
          <w:rFonts w:ascii="Segoe UI" w:eastAsia="Segoe UI" w:hAnsi="Segoe UI" w:cs="Segoe UI" w:hint="eastAsia"/>
          <w:i w:val="0"/>
          <w:iCs w:val="0"/>
          <w:caps w:val="0"/>
          <w:color w:val="0F1115"/>
          <w:spacing w:val="0"/>
          <w:sz w:val="24"/>
          <w:szCs w:val="24"/>
          <w:shd w:val="clear" w:color="auto" w:fill="FFFFFF"/>
        </w:rPr>
        <w:t>是一家集工程总承包、勘察测绘、设计施工、地灾治理、无人机航测、地理信息工程、软件开发、系统运维于一体的综合型企业， 目前已成为青岛地区最具竞争活力的创新型工程类民营企业。</w:t>
      </w:r>
    </w:p>
    <w:p>
      <w:pPr>
        <w:ind w:firstLine="480" w:firstLineChars="200"/>
        <w:rPr>
          <w:rFonts w:ascii="宋体" w:eastAsia="宋体" w:hAnsi="宋体" w:cs="Times New Roman" w:hint="eastAsia"/>
          <w:color w:val="000000" w:themeColor="text1"/>
          <w:highlight w:val="none"/>
          <w:lang w:val="en-US" w:eastAsia="zh-CN"/>
        </w:rPr>
      </w:pPr>
      <w:r>
        <w:rPr>
          <w:rFonts w:ascii="Segoe UI" w:eastAsia="Segoe UI" w:hAnsi="Segoe UI" w:cs="Segoe UI" w:hint="eastAsia"/>
          <w:i w:val="0"/>
          <w:iCs w:val="0"/>
          <w:caps w:val="0"/>
          <w:color w:val="0F1115"/>
          <w:spacing w:val="0"/>
          <w:sz w:val="24"/>
          <w:szCs w:val="24"/>
          <w:shd w:val="clear" w:color="auto" w:fill="FFFFFF"/>
        </w:rPr>
        <w:t>公司致力于时空地理信息技术的研究、开发与应用，结合“5G“、大数据、人工智能等相关技术，重点开展“无人机+”、“遥感+”等地理信息新兴服务产业的研究、推广与应用重点培育时空信息化、地上地下城市信息模型(CIM)等核心技术，秉承“数聚赋能应用场景”研发理念，开发“时空大数据管理”与“时空大数据决策”的智慧大脑服务平台；全面开展基于“大数据分析”与“人工智能管理”相结合的智慧政务一站式解决方案，先后推出了“城市智能巡查”、 “数字蒙阴智慧两山”、“应急与指挥系统”、“安保指挥系统”等一系列智慧政务平台；重点建设了以实景三维城市、数字孪生城市为依托的城市综合运行管理中心、美丽乡村、智慧社区、生态银行等智慧城市服务体系，打造智能巡查、智能调度、智慧办公、智慧管理、服务惠民的全链条的城市管理服务平台。</w:t>
      </w:r>
    </w:p>
    <w:p>
      <w:pPr>
        <w:ind w:firstLine="480" w:firstLineChars="200"/>
        <w:rPr>
          <w:rFonts w:ascii="宋体" w:eastAsia="宋体" w:hAnsi="宋体" w:cs="Times New Roman" w:hint="default"/>
          <w:color w:val="000000" w:themeColor="text1"/>
          <w:highlight w:val="none"/>
          <w:lang w:val="en-US" w:eastAsia="zh-CN"/>
        </w:rPr>
      </w:pPr>
      <w:r>
        <w:rPr>
          <w:rFonts w:ascii="宋体" w:eastAsia="宋体" w:hAnsi="宋体" w:cs="Times New Roman" w:hint="eastAsia"/>
          <w:color w:val="000000" w:themeColor="text1"/>
          <w:highlight w:val="none"/>
          <w:lang w:val="en-US" w:eastAsia="zh-CN"/>
        </w:rPr>
        <w:t>公司的整体组织架构如下：</w:t>
      </w:r>
    </w:p>
    <w:p>
      <w:pPr>
        <w:pStyle w:val="TOC2"/>
        <w:ind w:left="0" w:firstLine="0" w:leftChars="0" w:firstLineChars="0"/>
        <w:jc w:val="center"/>
        <w:rPr>
          <w:rFonts w:hint="eastAsia"/>
        </w:rPr>
      </w:pPr>
      <w:r>
        <w:drawing>
          <wp:inline distT="0" distB="0" distL="114300" distR="114300">
            <wp:extent cx="5558155" cy="3605530"/>
            <wp:effectExtent l="0" t="0" r="4445" b="13970"/>
            <wp:docPr id="153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6" name="图片 1"/>
                    <pic:cNvPicPr>
                      <a:picLocks noChangeAspect="1"/>
                    </pic:cNvPicPr>
                  </pic:nvPicPr>
                  <pic:blipFill>
                    <a:blip xmlns:r="http://schemas.openxmlformats.org/officeDocument/2006/relationships" r:embed="rId6"/>
                    <a:stretch>
                      <a:fillRect/>
                    </a:stretch>
                  </pic:blipFill>
                  <pic:spPr>
                    <a:xfrm>
                      <a:off x="0" y="0"/>
                      <a:ext cx="5558155" cy="360553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宋体" w:hint="default"/>
          <w:lang w:val="en-US" w:eastAsia="zh-CN"/>
        </w:rPr>
      </w:pPr>
      <w:r>
        <w:rPr>
          <w:rFonts w:hint="eastAsia"/>
          <w:lang w:val="en-US" w:eastAsia="zh-CN"/>
        </w:rPr>
        <w:t>公司数据治理组织架构说明如下：</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240" w:leftChars="0" w:firstLineChars="0"/>
        <w:textAlignment w:val="auto"/>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决策层：数据治理委员会，组长为总经理，副组长</w:t>
      </w:r>
      <w:r>
        <w:rPr>
          <w:rFonts w:ascii="宋体" w:eastAsia="宋体" w:hAnsi="宋体" w:cs="宋体" w:hint="eastAsia"/>
          <w:color w:val="FF0000"/>
          <w:sz w:val="24"/>
          <w:szCs w:val="24"/>
          <w:highlight w:val="yellow"/>
          <w:lang w:val="en-US" w:eastAsia="zh-CN"/>
        </w:rPr>
        <w:t>为分管副总</w:t>
      </w:r>
      <w:r>
        <w:rPr>
          <w:rFonts w:ascii="宋体" w:hAnsi="宋体" w:cs="宋体" w:hint="eastAsia"/>
          <w:color w:val="FF0000"/>
          <w:sz w:val="24"/>
          <w:szCs w:val="24"/>
          <w:highlight w:val="yellow"/>
          <w:lang w:val="en-US" w:eastAsia="zh-CN"/>
        </w:rPr>
        <w:t>（没有分管副总，副组长是勘察测绘院院长）</w:t>
      </w:r>
      <w:r>
        <w:rPr>
          <w:rFonts w:ascii="宋体" w:eastAsia="宋体" w:hAnsi="宋体" w:cs="宋体" w:hint="eastAsia"/>
          <w:sz w:val="24"/>
          <w:szCs w:val="24"/>
          <w:lang w:val="en-US" w:eastAsia="zh-CN"/>
        </w:rPr>
        <w:t>，</w:t>
      </w:r>
      <w:r>
        <w:rPr>
          <w:rFonts w:ascii="宋体" w:eastAsia="宋体" w:hAnsi="宋体" w:cs="宋体" w:hint="eastAsia"/>
          <w:sz w:val="24"/>
          <w:szCs w:val="24"/>
        </w:rPr>
        <w:t>成员</w:t>
      </w:r>
      <w:r>
        <w:rPr>
          <w:rFonts w:ascii="宋体" w:eastAsia="宋体" w:hAnsi="宋体" w:cs="宋体" w:hint="eastAsia"/>
          <w:sz w:val="24"/>
          <w:szCs w:val="24"/>
          <w:lang w:val="en-US" w:eastAsia="zh-CN"/>
        </w:rPr>
        <w:t>是</w:t>
      </w:r>
      <w:r>
        <w:rPr>
          <w:rFonts w:ascii="宋体" w:eastAsia="宋体" w:hAnsi="宋体" w:cs="宋体" w:hint="eastAsia"/>
          <w:sz w:val="24"/>
          <w:szCs w:val="24"/>
        </w:rPr>
        <w:t>所有部门负责人</w:t>
      </w:r>
      <w:r>
        <w:rPr>
          <w:rFonts w:ascii="宋体" w:eastAsia="宋体" w:hAnsi="宋体" w:cs="宋体" w:hint="eastAsia"/>
          <w:sz w:val="24"/>
          <w:szCs w:val="24"/>
          <w:lang w:eastAsia="zh-CN"/>
        </w:rPr>
        <w:t>；</w:t>
      </w:r>
      <w:r>
        <w:rPr>
          <w:rFonts w:ascii="宋体" w:eastAsia="宋体" w:hAnsi="宋体" w:cs="宋体" w:hint="eastAsia"/>
          <w:sz w:val="24"/>
          <w:szCs w:val="24"/>
        </w:rPr>
        <w:t>负责数据治理工作的重要决策</w:t>
      </w:r>
      <w:r>
        <w:rPr>
          <w:rFonts w:ascii="宋体" w:eastAsia="宋体" w:hAnsi="宋体" w:cs="宋体" w:hint="eastAsia"/>
          <w:sz w:val="24"/>
          <w:szCs w:val="24"/>
          <w:lang w:eastAsia="zh-CN"/>
        </w:rPr>
        <w:t>，</w:t>
      </w:r>
      <w:r>
        <w:rPr>
          <w:rFonts w:ascii="宋体" w:eastAsia="宋体" w:hAnsi="宋体" w:cs="宋体" w:hint="eastAsia"/>
          <w:sz w:val="24"/>
          <w:szCs w:val="24"/>
        </w:rPr>
        <w:t>审核数据治理工作的各项规章制度</w:t>
      </w:r>
      <w:r>
        <w:rPr>
          <w:rFonts w:ascii="宋体" w:eastAsia="宋体" w:hAnsi="宋体" w:cs="宋体" w:hint="eastAsia"/>
          <w:sz w:val="24"/>
          <w:szCs w:val="24"/>
          <w:lang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240" w:leftChars="0" w:firstLineChars="0"/>
        <w:textAlignment w:val="auto"/>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数据治理归口部门：</w:t>
      </w:r>
      <w:r>
        <w:rPr>
          <w:rFonts w:ascii="宋体" w:hAnsi="宋体" w:cs="宋体" w:hint="eastAsia"/>
          <w:sz w:val="24"/>
          <w:szCs w:val="24"/>
          <w:lang w:val="en-US" w:eastAsia="zh-CN"/>
        </w:rPr>
        <w:t>研发中心</w:t>
      </w:r>
      <w:r>
        <w:rPr>
          <w:rFonts w:ascii="宋体" w:eastAsia="宋体" w:hAnsi="宋体" w:cs="宋体" w:hint="eastAsia"/>
          <w:sz w:val="24"/>
          <w:szCs w:val="24"/>
          <w:lang w:val="en-US" w:eastAsia="zh-CN"/>
        </w:rPr>
        <w:t>，负责</w:t>
      </w:r>
      <w:r>
        <w:rPr>
          <w:rFonts w:ascii="宋体" w:eastAsia="宋体" w:hAnsi="宋体" w:cs="宋体" w:hint="eastAsia"/>
          <w:sz w:val="24"/>
          <w:szCs w:val="24"/>
          <w:highlight w:val="none"/>
        </w:rPr>
        <w:t>编制数据治理工作的各项规章制度</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负责数据治理工作的协调</w:t>
      </w:r>
      <w:r>
        <w:rPr>
          <w:rFonts w:ascii="宋体" w:eastAsia="宋体" w:hAnsi="宋体" w:cs="宋体" w:hint="eastAsia"/>
          <w:sz w:val="24"/>
          <w:szCs w:val="24"/>
          <w:highlight w:val="none"/>
          <w:lang w:eastAsia="zh-CN"/>
        </w:rPr>
        <w:t>、</w:t>
      </w:r>
      <w:r>
        <w:rPr>
          <w:rFonts w:ascii="宋体" w:eastAsia="宋体" w:hAnsi="宋体" w:cs="宋体" w:hint="eastAsia"/>
          <w:sz w:val="24"/>
          <w:szCs w:val="24"/>
          <w:highlight w:val="none"/>
        </w:rPr>
        <w:t>组织</w:t>
      </w:r>
      <w:r>
        <w:rPr>
          <w:rFonts w:ascii="宋体" w:eastAsia="宋体" w:hAnsi="宋体" w:cs="宋体" w:hint="eastAsia"/>
          <w:sz w:val="24"/>
          <w:szCs w:val="24"/>
          <w:highlight w:val="none"/>
          <w:lang w:val="en-US" w:eastAsia="zh-CN"/>
        </w:rPr>
        <w:t>和考核等</w:t>
      </w:r>
      <w:r>
        <w:rPr>
          <w:rFonts w:ascii="宋体" w:eastAsia="宋体" w:hAnsi="宋体" w:cs="宋体" w:hint="eastAsia"/>
          <w:sz w:val="24"/>
          <w:szCs w:val="24"/>
          <w:lang w:val="en-US"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240" w:leftChars="0" w:firstLineChars="0"/>
        <w:textAlignment w:val="auto"/>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业务部门：公司所有部门，</w:t>
      </w:r>
      <w:r>
        <w:rPr>
          <w:rFonts w:ascii="宋体" w:eastAsia="宋体" w:hAnsi="宋体" w:cs="宋体" w:hint="eastAsia"/>
          <w:sz w:val="24"/>
          <w:szCs w:val="24"/>
          <w:vertAlign w:val="baseline"/>
          <w:lang w:val="en-US" w:eastAsia="zh-CN"/>
        </w:rPr>
        <w:t>数据的需求方和提供方，负责职责范围内的数据管理任务。</w:t>
      </w:r>
    </w:p>
    <w:p>
      <w:pPr>
        <w:pStyle w:val="Heading2"/>
        <w:bidi w:val="0"/>
        <w:rPr>
          <w:rFonts w:hint="eastAsia"/>
        </w:rPr>
      </w:pPr>
      <w:bookmarkStart w:id="7" w:name="_Toc27622"/>
      <w:r>
        <w:rPr>
          <w:rFonts w:hint="eastAsia"/>
        </w:rPr>
        <w:t>企业财务信息</w:t>
      </w:r>
      <w:bookmarkEnd w:id="7"/>
    </w:p>
    <w:p>
      <w:pPr>
        <w:ind w:firstLine="480" w:firstLineChars="200"/>
        <w:rPr>
          <w:rFonts w:ascii="宋体" w:eastAsia="宋体" w:hAnsi="宋体" w:cs="Times New Roman" w:hint="eastAsia"/>
          <w:color w:val="000000" w:themeColor="text1"/>
          <w:highlight w:val="none"/>
          <w:lang w:val="en-US" w:eastAsia="zh-CN"/>
        </w:rPr>
      </w:pPr>
      <w:r>
        <w:rPr>
          <w:rFonts w:ascii="宋体" w:eastAsia="宋体" w:hAnsi="宋体" w:cs="Times New Roman" w:hint="eastAsia"/>
          <w:color w:val="000000" w:themeColor="text1"/>
          <w:highlight w:val="none"/>
          <w:lang w:val="en-US" w:eastAsia="zh-CN"/>
        </w:rPr>
        <w:t>公司经营状况良好，克服新冠疫情带来的不利影响，近三年</w:t>
      </w:r>
      <w:r>
        <w:rPr>
          <w:rFonts w:ascii="宋体" w:hAnsi="宋体" w:cs="Times New Roman" w:hint="eastAsia"/>
          <w:color w:val="000000" w:themeColor="text1"/>
          <w:highlight w:val="none"/>
          <w:lang w:val="en-US" w:eastAsia="zh-CN"/>
        </w:rPr>
        <w:t>营业</w:t>
      </w:r>
      <w:r>
        <w:rPr>
          <w:rFonts w:ascii="宋体" w:eastAsia="宋体" w:hAnsi="宋体" w:cs="Times New Roman" w:hint="eastAsia"/>
          <w:color w:val="000000" w:themeColor="text1"/>
          <w:highlight w:val="none"/>
          <w:lang w:val="en-US" w:eastAsia="zh-CN"/>
        </w:rPr>
        <w:t>收入实现稳步增长，2</w:t>
      </w:r>
      <w:r>
        <w:rPr>
          <w:rFonts w:ascii="宋体" w:hAnsi="宋体" w:cs="Times New Roman" w:hint="eastAsia"/>
          <w:color w:val="000000" w:themeColor="text1"/>
          <w:highlight w:val="none"/>
          <w:lang w:val="en-US" w:eastAsia="zh-CN"/>
        </w:rPr>
        <w:t>022</w:t>
      </w:r>
      <w:r>
        <w:rPr>
          <w:rFonts w:ascii="宋体" w:eastAsia="宋体" w:hAnsi="宋体" w:cs="Times New Roman" w:hint="eastAsia"/>
          <w:color w:val="000000" w:themeColor="text1"/>
          <w:highlight w:val="none"/>
          <w:lang w:val="en-US" w:eastAsia="zh-CN"/>
        </w:rPr>
        <w:t>年</w:t>
      </w:r>
      <w:r>
        <w:rPr>
          <w:rFonts w:ascii="宋体" w:hAnsi="宋体" w:cs="Times New Roman" w:hint="eastAsia"/>
          <w:color w:val="000000" w:themeColor="text1"/>
          <w:highlight w:val="none"/>
          <w:lang w:val="en-US" w:eastAsia="zh-CN"/>
        </w:rPr>
        <w:t>营业</w:t>
      </w:r>
      <w:r>
        <w:rPr>
          <w:rFonts w:ascii="宋体" w:eastAsia="宋体" w:hAnsi="宋体" w:cs="Times New Roman" w:hint="eastAsia"/>
          <w:color w:val="000000" w:themeColor="text1"/>
          <w:highlight w:val="none"/>
          <w:lang w:val="en-US" w:eastAsia="zh-CN"/>
        </w:rPr>
        <w:t>收入</w:t>
      </w:r>
      <w:r>
        <w:rPr>
          <w:rFonts w:ascii="宋体" w:eastAsia="宋体" w:hAnsi="宋体" w:cs="Times New Roman" w:hint="eastAsia"/>
          <w:color w:val="FF0000"/>
          <w:highlight w:val="yellow"/>
          <w:lang w:val="en-US" w:eastAsia="zh-CN"/>
        </w:rPr>
        <w:t>9.82</w:t>
      </w:r>
      <w:r>
        <w:rPr>
          <w:rFonts w:ascii="宋体" w:eastAsia="宋体" w:hAnsi="宋体" w:cs="Times New Roman" w:hint="eastAsia"/>
          <w:color w:val="000000" w:themeColor="text1"/>
          <w:highlight w:val="none"/>
          <w:lang w:val="en-US" w:eastAsia="zh-CN"/>
        </w:rPr>
        <w:t>亿元，利润</w:t>
      </w:r>
      <w:r>
        <w:rPr>
          <w:rFonts w:ascii="宋体" w:eastAsia="宋体" w:hAnsi="宋体" w:cs="Times New Roman" w:hint="eastAsia"/>
          <w:color w:val="FF0000"/>
          <w:highlight w:val="yellow"/>
          <w:lang w:val="en-US" w:eastAsia="zh-CN"/>
        </w:rPr>
        <w:t>0.79</w:t>
      </w:r>
      <w:r>
        <w:rPr>
          <w:rFonts w:ascii="宋体" w:eastAsia="宋体" w:hAnsi="宋体" w:cs="Times New Roman" w:hint="eastAsia"/>
          <w:color w:val="000000" w:themeColor="text1"/>
          <w:highlight w:val="none"/>
          <w:lang w:val="en-US" w:eastAsia="zh-CN"/>
        </w:rPr>
        <w:t>亿元；2</w:t>
      </w:r>
      <w:r>
        <w:rPr>
          <w:rFonts w:ascii="宋体" w:hAnsi="宋体" w:cs="Times New Roman" w:hint="eastAsia"/>
          <w:color w:val="000000" w:themeColor="text1"/>
          <w:highlight w:val="none"/>
          <w:lang w:val="en-US" w:eastAsia="zh-CN"/>
        </w:rPr>
        <w:t>023</w:t>
      </w:r>
      <w:r>
        <w:rPr>
          <w:rFonts w:ascii="宋体" w:eastAsia="宋体" w:hAnsi="宋体" w:cs="Times New Roman" w:hint="eastAsia"/>
          <w:color w:val="000000" w:themeColor="text1"/>
          <w:highlight w:val="none"/>
          <w:lang w:val="en-US" w:eastAsia="zh-CN"/>
        </w:rPr>
        <w:t>年</w:t>
      </w:r>
      <w:r>
        <w:rPr>
          <w:rFonts w:ascii="宋体" w:hAnsi="宋体" w:cs="Times New Roman" w:hint="eastAsia"/>
          <w:color w:val="000000" w:themeColor="text1"/>
          <w:highlight w:val="none"/>
          <w:lang w:val="en-US" w:eastAsia="zh-CN"/>
        </w:rPr>
        <w:t>营业</w:t>
      </w:r>
      <w:r>
        <w:rPr>
          <w:rFonts w:ascii="宋体" w:eastAsia="宋体" w:hAnsi="宋体" w:cs="Times New Roman" w:hint="eastAsia"/>
          <w:color w:val="000000" w:themeColor="text1"/>
          <w:highlight w:val="none"/>
          <w:lang w:val="en-US" w:eastAsia="zh-CN"/>
        </w:rPr>
        <w:t>收入</w:t>
      </w:r>
      <w:r>
        <w:rPr>
          <w:rFonts w:ascii="宋体" w:eastAsia="宋体" w:hAnsi="宋体" w:cs="Times New Roman" w:hint="eastAsia"/>
          <w:color w:val="000000" w:themeColor="text1"/>
          <w:highlight w:val="yellow"/>
          <w:lang w:val="en-US" w:eastAsia="zh-CN"/>
        </w:rPr>
        <w:t>9</w:t>
      </w:r>
      <w:r>
        <w:rPr>
          <w:rFonts w:ascii="宋体" w:eastAsia="宋体" w:hAnsi="宋体" w:cs="Times New Roman" w:hint="eastAsia"/>
          <w:color w:val="FF0000"/>
          <w:highlight w:val="yellow"/>
          <w:lang w:val="en-US" w:eastAsia="zh-CN"/>
        </w:rPr>
        <w:t>.82</w:t>
      </w:r>
      <w:r>
        <w:rPr>
          <w:rFonts w:ascii="宋体" w:eastAsia="宋体" w:hAnsi="宋体" w:cs="Times New Roman" w:hint="eastAsia"/>
          <w:color w:val="000000" w:themeColor="text1"/>
          <w:highlight w:val="none"/>
          <w:lang w:val="en-US" w:eastAsia="zh-CN"/>
        </w:rPr>
        <w:t>亿元，利润</w:t>
      </w:r>
      <w:r>
        <w:rPr>
          <w:rFonts w:ascii="宋体" w:eastAsia="宋体" w:hAnsi="宋体" w:cs="Times New Roman" w:hint="eastAsia"/>
          <w:color w:val="FF0000"/>
          <w:highlight w:val="yellow"/>
          <w:lang w:val="en-US" w:eastAsia="zh-CN"/>
        </w:rPr>
        <w:t>0.79</w:t>
      </w:r>
      <w:r>
        <w:rPr>
          <w:rFonts w:ascii="宋体" w:eastAsia="宋体" w:hAnsi="宋体" w:cs="Times New Roman" w:hint="eastAsia"/>
          <w:color w:val="000000" w:themeColor="text1"/>
          <w:highlight w:val="none"/>
          <w:lang w:val="en-US" w:eastAsia="zh-CN"/>
        </w:rPr>
        <w:t>亿元；2</w:t>
      </w:r>
      <w:r>
        <w:rPr>
          <w:rFonts w:ascii="宋体" w:hAnsi="宋体" w:cs="Times New Roman" w:hint="eastAsia"/>
          <w:color w:val="000000" w:themeColor="text1"/>
          <w:highlight w:val="none"/>
          <w:lang w:val="en-US" w:eastAsia="zh-CN"/>
        </w:rPr>
        <w:t>024</w:t>
      </w:r>
      <w:r>
        <w:rPr>
          <w:rFonts w:ascii="宋体" w:eastAsia="宋体" w:hAnsi="宋体" w:cs="Times New Roman" w:hint="eastAsia"/>
          <w:color w:val="000000" w:themeColor="text1"/>
          <w:highlight w:val="none"/>
          <w:lang w:val="en-US" w:eastAsia="zh-CN"/>
        </w:rPr>
        <w:t>年</w:t>
      </w:r>
      <w:r>
        <w:rPr>
          <w:rFonts w:ascii="宋体" w:hAnsi="宋体" w:cs="Times New Roman" w:hint="eastAsia"/>
          <w:color w:val="000000" w:themeColor="text1"/>
          <w:highlight w:val="none"/>
          <w:lang w:val="en-US" w:eastAsia="zh-CN"/>
        </w:rPr>
        <w:t>营业</w:t>
      </w:r>
      <w:r>
        <w:rPr>
          <w:rFonts w:ascii="宋体" w:eastAsia="宋体" w:hAnsi="宋体" w:cs="Times New Roman" w:hint="eastAsia"/>
          <w:color w:val="000000" w:themeColor="text1"/>
          <w:highlight w:val="none"/>
          <w:lang w:val="en-US" w:eastAsia="zh-CN"/>
        </w:rPr>
        <w:t>收入</w:t>
      </w:r>
      <w:r>
        <w:rPr>
          <w:rFonts w:ascii="宋体" w:eastAsia="宋体" w:hAnsi="宋体" w:cs="Times New Roman" w:hint="eastAsia"/>
          <w:color w:val="FF0000"/>
          <w:highlight w:val="yellow"/>
          <w:lang w:val="en-US" w:eastAsia="zh-CN"/>
        </w:rPr>
        <w:t>9.82</w:t>
      </w:r>
      <w:r>
        <w:rPr>
          <w:rFonts w:ascii="宋体" w:eastAsia="宋体" w:hAnsi="宋体" w:cs="Times New Roman" w:hint="eastAsia"/>
          <w:color w:val="000000" w:themeColor="text1"/>
          <w:highlight w:val="none"/>
          <w:lang w:val="en-US" w:eastAsia="zh-CN"/>
        </w:rPr>
        <w:t>亿元，利润</w:t>
      </w:r>
      <w:r>
        <w:rPr>
          <w:rFonts w:ascii="宋体" w:eastAsia="宋体" w:hAnsi="宋体" w:cs="Times New Roman" w:hint="eastAsia"/>
          <w:color w:val="FF0000"/>
          <w:highlight w:val="yellow"/>
          <w:lang w:val="en-US" w:eastAsia="zh-CN"/>
        </w:rPr>
        <w:t>0.79</w:t>
      </w:r>
      <w:r>
        <w:rPr>
          <w:rFonts w:ascii="宋体" w:eastAsia="宋体" w:hAnsi="宋体" w:cs="Times New Roman" w:hint="eastAsia"/>
          <w:color w:val="000000" w:themeColor="text1"/>
          <w:highlight w:val="none"/>
          <w:lang w:val="en-US" w:eastAsia="zh-CN"/>
        </w:rPr>
        <w:t>亿元。</w:t>
      </w:r>
    </w:p>
    <w:p>
      <w:pPr>
        <w:pStyle w:val="Heading2"/>
        <w:bidi w:val="0"/>
        <w:rPr>
          <w:rFonts w:hint="eastAsia"/>
        </w:rPr>
      </w:pPr>
      <w:bookmarkStart w:id="8" w:name="_Toc13845"/>
      <w:r>
        <w:rPr>
          <w:rFonts w:hint="eastAsia"/>
        </w:rPr>
        <w:t>企业产品信息</w:t>
      </w:r>
      <w:bookmarkEnd w:id="8"/>
      <w:r>
        <w:rPr>
          <w:rFonts w:hint="eastAsia"/>
          <w:lang w:val="en-US" w:eastAsia="zh-CN"/>
        </w:rPr>
        <w:t xml:space="preserve"> </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ascii="宋体" w:eastAsia="宋体" w:hAnsi="宋体" w:cs="宋体" w:hint="default"/>
          <w:sz w:val="24"/>
          <w:szCs w:val="24"/>
          <w:lang w:val="en-US" w:eastAsia="zh-CN"/>
        </w:rPr>
      </w:pPr>
      <w:bookmarkStart w:id="9" w:name="_Toc28767"/>
      <w:r>
        <w:rPr>
          <w:rFonts w:ascii="宋体" w:eastAsia="宋体" w:hAnsi="宋体" w:cs="宋体" w:hint="default"/>
          <w:sz w:val="24"/>
          <w:szCs w:val="24"/>
          <w:lang w:val="en-US" w:eastAsia="zh-CN"/>
        </w:rPr>
        <w:t>集团业务板块多元化，产品与服务主要聚焦于：</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240" w:firstLine="480" w:leftChars="0" w:firstLineChars="200"/>
        <w:textAlignment w:val="auto"/>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工程建设领域：涵盖市政工程、水利工程、建筑工程、</w:t>
      </w:r>
      <w:r>
        <w:rPr>
          <w:rFonts w:ascii="宋体" w:eastAsia="宋体" w:hAnsi="宋体" w:cs="宋体" w:hint="eastAsia"/>
          <w:sz w:val="24"/>
          <w:szCs w:val="24"/>
          <w:lang w:val="en-US" w:eastAsia="zh-CN"/>
        </w:rPr>
        <w:t>港口航道</w:t>
      </w:r>
      <w:r>
        <w:rPr>
          <w:rFonts w:ascii="宋体" w:eastAsia="宋体" w:hAnsi="宋体" w:cs="宋体" w:hint="default"/>
          <w:sz w:val="24"/>
          <w:szCs w:val="24"/>
          <w:lang w:val="en-US" w:eastAsia="zh-CN"/>
        </w:rPr>
        <w:t>勘察测绘、设计咨询等，提供项目全生命周期服务。</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240" w:firstLine="480" w:leftChars="0" w:firstLineChars="200"/>
        <w:textAlignment w:val="auto"/>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智慧科技领域：提供智慧城市解决方案、软件开发、系统集成、大数据分析及应用服务。</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240" w:firstLine="480" w:leftChars="0" w:firstLineChars="200"/>
        <w:textAlignment w:val="auto"/>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其他领域：涉及现代农业、金融投资等。</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240" w:firstLine="480" w:leftChars="0" w:firstLineChars="200"/>
        <w:textAlignment w:val="auto"/>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集团及子公司共拥有授权专利</w:t>
      </w:r>
      <w:r>
        <w:rPr>
          <w:rFonts w:ascii="宋体" w:hAnsi="宋体" w:cs="宋体" w:hint="eastAsia"/>
          <w:sz w:val="24"/>
          <w:szCs w:val="24"/>
          <w:lang w:val="en-US" w:eastAsia="zh-CN"/>
        </w:rPr>
        <w:t>20</w:t>
      </w:r>
      <w:r>
        <w:rPr>
          <w:rFonts w:ascii="宋体" w:eastAsia="宋体" w:hAnsi="宋体" w:cs="宋体" w:hint="default"/>
          <w:sz w:val="24"/>
          <w:szCs w:val="24"/>
          <w:lang w:val="en-US" w:eastAsia="zh-CN"/>
        </w:rPr>
        <w:t>项，</w:t>
      </w:r>
      <w:r>
        <w:rPr>
          <w:rFonts w:ascii="宋体" w:hAnsi="宋体" w:cs="宋体" w:hint="eastAsia"/>
          <w:sz w:val="24"/>
          <w:szCs w:val="24"/>
          <w:lang w:val="en-US" w:eastAsia="zh-CN"/>
        </w:rPr>
        <w:t>实用新型专利297项，</w:t>
      </w:r>
      <w:r>
        <w:rPr>
          <w:rFonts w:ascii="宋体" w:eastAsia="宋体" w:hAnsi="宋体" w:cs="宋体" w:hint="default"/>
          <w:sz w:val="24"/>
          <w:szCs w:val="24"/>
          <w:lang w:val="en-US" w:eastAsia="zh-CN"/>
        </w:rPr>
        <w:t>软件著作权</w:t>
      </w:r>
      <w:r>
        <w:rPr>
          <w:rFonts w:ascii="宋体" w:hAnsi="宋体" w:cs="宋体" w:hint="eastAsia"/>
          <w:sz w:val="24"/>
          <w:szCs w:val="24"/>
          <w:lang w:val="en-US" w:eastAsia="zh-CN"/>
        </w:rPr>
        <w:t>15</w:t>
      </w:r>
      <w:r>
        <w:rPr>
          <w:rFonts w:ascii="宋体" w:eastAsia="宋体" w:hAnsi="宋体" w:cs="宋体" w:hint="default"/>
          <w:sz w:val="24"/>
          <w:szCs w:val="24"/>
          <w:lang w:val="en-US" w:eastAsia="zh-CN"/>
        </w:rPr>
        <w:t>项；主导或参与制定多项行业、地方及团体标准。工程项目执行国家及行业相关标准规范，如ISO9001质量管理体系认证、ISO24001环境管理体系认证、ISO45001职业健康安全管理体系认证、ISO27001信息安全管理体系认证等系列标准，确保工程与服务品质</w:t>
      </w:r>
    </w:p>
    <w:p>
      <w:pPr>
        <w:pStyle w:val="Heading2"/>
        <w:bidi w:val="0"/>
        <w:rPr>
          <w:rFonts w:hint="eastAsia"/>
        </w:rPr>
      </w:pPr>
      <w:r>
        <w:rPr>
          <w:rFonts w:hint="eastAsia"/>
        </w:rPr>
        <w:t>技术</w:t>
      </w:r>
      <w:r>
        <w:rPr>
          <w:rFonts w:hint="eastAsia"/>
          <w:lang w:val="en-US" w:eastAsia="zh-CN"/>
        </w:rPr>
        <w:t>研发</w:t>
      </w:r>
      <w:r>
        <w:rPr>
          <w:rFonts w:hint="eastAsia"/>
        </w:rPr>
        <w:t>力量</w:t>
      </w:r>
      <w:bookmarkEnd w:id="9"/>
    </w:p>
    <w:p>
      <w:pPr>
        <w:ind w:firstLine="480" w:firstLineChars="200"/>
        <w:rPr>
          <w:rFonts w:ascii="宋体" w:eastAsia="宋体" w:hAnsi="宋体" w:cs="Times New Roman" w:hint="eastAsia"/>
          <w:color w:val="000000" w:themeColor="text1"/>
          <w:highlight w:val="none"/>
          <w:lang w:val="en-US" w:eastAsia="zh-CN"/>
        </w:rPr>
      </w:pPr>
      <w:r>
        <w:rPr>
          <w:rFonts w:ascii="宋体" w:eastAsia="宋体" w:hAnsi="宋体" w:cs="Times New Roman" w:hint="eastAsia"/>
          <w:color w:val="000000" w:themeColor="text1"/>
          <w:highlight w:val="none"/>
          <w:lang w:val="en-US" w:eastAsia="zh-CN"/>
        </w:rPr>
        <w:t>瑞源集团高度重视技术创新与研发投入，每年投入销售收入的3%以上用于研究开发，并随着集团战略发展持续增加研发投入。</w:t>
      </w:r>
    </w:p>
    <w:p>
      <w:pPr>
        <w:ind w:firstLine="480" w:firstLineChars="200"/>
        <w:rPr>
          <w:rFonts w:ascii="宋体" w:eastAsia="宋体" w:hAnsi="宋体" w:cs="Times New Roman" w:hint="eastAsia"/>
          <w:color w:val="000000" w:themeColor="text1"/>
          <w:highlight w:val="none"/>
          <w:lang w:val="en-US" w:eastAsia="zh-CN"/>
        </w:rPr>
      </w:pPr>
      <w:r>
        <w:rPr>
          <w:rFonts w:ascii="宋体" w:eastAsia="宋体" w:hAnsi="宋体" w:cs="Times New Roman" w:hint="eastAsia"/>
          <w:color w:val="000000" w:themeColor="text1"/>
          <w:highlight w:val="none"/>
          <w:lang w:val="en-US" w:eastAsia="zh-CN"/>
        </w:rPr>
        <w:t>集团拥有多个研发平台，组建了一支结构合理、专业精湛的研发团队。目前集团拥有各类研发与技术人才近</w:t>
      </w:r>
      <w:r>
        <w:rPr>
          <w:rFonts w:ascii="宋体" w:hAnsi="宋体" w:cs="Times New Roman" w:hint="eastAsia"/>
          <w:color w:val="000000" w:themeColor="text1"/>
          <w:highlight w:val="none"/>
          <w:lang w:val="en-US" w:eastAsia="zh-CN"/>
        </w:rPr>
        <w:t>60</w:t>
      </w:r>
      <w:r>
        <w:rPr>
          <w:rFonts w:ascii="宋体" w:eastAsia="宋体" w:hAnsi="宋体" w:cs="Times New Roman" w:hint="eastAsia"/>
          <w:color w:val="000000" w:themeColor="text1"/>
          <w:highlight w:val="none"/>
          <w:lang w:val="en-US" w:eastAsia="zh-CN"/>
        </w:rPr>
        <w:t>人，占企业总人数比例</w:t>
      </w:r>
      <w:r>
        <w:rPr>
          <w:rFonts w:ascii="宋体" w:hAnsi="宋体" w:cs="Times New Roman" w:hint="eastAsia"/>
          <w:color w:val="000000" w:themeColor="text1"/>
          <w:highlight w:val="none"/>
          <w:lang w:val="en-US" w:eastAsia="zh-CN"/>
        </w:rPr>
        <w:t>12</w:t>
      </w:r>
      <w:r>
        <w:rPr>
          <w:rFonts w:ascii="宋体" w:eastAsia="宋体" w:hAnsi="宋体" w:cs="Times New Roman" w:hint="eastAsia"/>
          <w:color w:val="000000" w:themeColor="text1"/>
          <w:highlight w:val="none"/>
          <w:lang w:val="en-US" w:eastAsia="zh-CN"/>
        </w:rPr>
        <w:t>%。所学专业覆盖土木工程、计算机科学、软件工程、</w:t>
      </w:r>
      <w:r>
        <w:rPr>
          <w:rFonts w:ascii="宋体" w:hAnsi="宋体" w:cs="Times New Roman" w:hint="eastAsia"/>
          <w:color w:val="000000" w:themeColor="text1"/>
          <w:highlight w:val="none"/>
          <w:lang w:val="en-US" w:eastAsia="zh-CN"/>
        </w:rPr>
        <w:t>地理信息系统、遥感、航空摄影测量</w:t>
      </w:r>
      <w:r>
        <w:rPr>
          <w:rFonts w:ascii="宋体" w:eastAsia="宋体" w:hAnsi="宋体" w:cs="Times New Roman" w:hint="eastAsia"/>
          <w:color w:val="000000" w:themeColor="text1"/>
          <w:highlight w:val="none"/>
          <w:lang w:val="en-US" w:eastAsia="zh-CN"/>
        </w:rPr>
        <w:t>等，为各产业板块的技术创新与难题攻关奠定了坚实基础。集团积极与国内外知名高校、科研院所（中国海洋大学、</w:t>
      </w:r>
      <w:r>
        <w:rPr>
          <w:rFonts w:ascii="宋体" w:hAnsi="宋体" w:cs="Times New Roman" w:hint="eastAsia"/>
          <w:color w:val="000000" w:themeColor="text1"/>
          <w:highlight w:val="none"/>
          <w:lang w:val="en-US" w:eastAsia="zh-CN"/>
        </w:rPr>
        <w:t>山东科技大学、中国石油大学</w:t>
      </w:r>
      <w:r>
        <w:rPr>
          <w:rFonts w:ascii="宋体" w:eastAsia="宋体" w:hAnsi="宋体" w:cs="Times New Roman" w:hint="eastAsia"/>
          <w:color w:val="000000" w:themeColor="text1"/>
          <w:highlight w:val="none"/>
          <w:lang w:val="en-US" w:eastAsia="zh-CN"/>
        </w:rPr>
        <w:t>等）开展产学研合作，并通过内部培训、外部引进、学术交流等多种方式，不断提升研发团队的整体素质与创新能力。</w:t>
      </w:r>
    </w:p>
    <w:p>
      <w:pPr>
        <w:pStyle w:val="Heading2"/>
        <w:bidi w:val="0"/>
        <w:rPr>
          <w:rFonts w:hint="eastAsia"/>
        </w:rPr>
      </w:pPr>
      <w:bookmarkStart w:id="10" w:name="_Toc7534"/>
      <w:r>
        <w:rPr>
          <w:rFonts w:hint="eastAsia"/>
        </w:rPr>
        <w:t>企业资质</w:t>
      </w:r>
      <w:bookmarkEnd w:id="10"/>
    </w:p>
    <w:p>
      <w:pPr>
        <w:ind w:firstLine="480" w:firstLineChars="200"/>
        <w:rPr>
          <w:rFonts w:ascii="宋体" w:eastAsia="宋体" w:hAnsi="宋体" w:cs="Times New Roman" w:hint="eastAsia"/>
          <w:color w:val="000000" w:themeColor="text1"/>
          <w:highlight w:val="none"/>
          <w:lang w:val="en-US" w:eastAsia="zh-CN"/>
        </w:rPr>
      </w:pPr>
      <w:r>
        <w:rPr>
          <w:rFonts w:ascii="宋体" w:eastAsia="宋体" w:hAnsi="宋体" w:cs="Times New Roman" w:hint="eastAsia"/>
          <w:color w:val="000000" w:themeColor="text1"/>
          <w:highlight w:val="none"/>
          <w:lang w:val="en-US" w:eastAsia="zh-CN"/>
        </w:rPr>
        <w:t>公司严格按照ISO 9001质量管理体系组织生产和质量控制，并通过ISO14001环境管理体系认证、ISO 45001职业健康安全管理体系认证、</w:t>
      </w:r>
      <w:r>
        <w:rPr>
          <w:rFonts w:ascii="宋体" w:eastAsia="宋体" w:hAnsi="宋体" w:cs="宋体" w:hint="default"/>
          <w:sz w:val="24"/>
          <w:szCs w:val="24"/>
          <w:lang w:val="en-US" w:eastAsia="zh-CN"/>
        </w:rPr>
        <w:t>ISO27001信息安全管理体系认证等系列标准</w:t>
      </w:r>
      <w:r>
        <w:rPr>
          <w:rFonts w:ascii="宋体" w:hAnsi="宋体" w:cs="Times New Roman" w:hint="eastAsia"/>
          <w:color w:val="000000" w:themeColor="text1"/>
          <w:highlight w:val="none"/>
          <w:lang w:val="en-US" w:eastAsia="zh-CN"/>
        </w:rPr>
        <w:t>，</w:t>
      </w:r>
      <w:r>
        <w:rPr>
          <w:rFonts w:ascii="宋体" w:eastAsia="宋体" w:hAnsi="宋体" w:cs="Times New Roman" w:hint="eastAsia"/>
          <w:color w:val="000000" w:themeColor="text1"/>
          <w:highlight w:val="none"/>
          <w:lang w:val="en-US" w:eastAsia="zh-CN"/>
        </w:rPr>
        <w:t>生产技术先进、质量可靠。</w:t>
      </w:r>
    </w:p>
    <w:p>
      <w:pPr>
        <w:pStyle w:val="Heading2"/>
        <w:bidi w:val="0"/>
        <w:rPr>
          <w:rFonts w:hint="eastAsia"/>
        </w:rPr>
      </w:pPr>
      <w:bookmarkStart w:id="11" w:name="_Toc26903"/>
      <w:r>
        <w:rPr>
          <w:rFonts w:hint="eastAsia"/>
          <w:lang w:val="en-US" w:eastAsia="zh-CN"/>
        </w:rPr>
        <w:t>数据管理</w:t>
      </w:r>
      <w:r>
        <w:rPr>
          <w:rFonts w:hint="eastAsia"/>
        </w:rPr>
        <w:t>人员</w:t>
      </w:r>
      <w:r>
        <w:rPr>
          <w:rFonts w:hint="eastAsia"/>
          <w:lang w:val="en-US" w:eastAsia="zh-CN"/>
        </w:rPr>
        <w:t>配置信息</w:t>
      </w:r>
      <w:bookmarkEnd w:id="11"/>
    </w:p>
    <w:p>
      <w:pPr>
        <w:ind w:firstLine="480" w:firstLineChars="200"/>
        <w:rPr>
          <w:rFonts w:ascii="宋体" w:eastAsia="宋体" w:hAnsi="宋体" w:cs="Times New Roman" w:hint="eastAsia"/>
          <w:color w:val="000000" w:themeColor="text1"/>
          <w:highlight w:val="none"/>
          <w:lang w:val="en-US" w:eastAsia="zh-CN"/>
        </w:rPr>
      </w:pPr>
      <w:r>
        <w:rPr>
          <w:rFonts w:ascii="Segoe UI" w:eastAsia="Segoe UI" w:hAnsi="Segoe UI" w:cs="Segoe UI"/>
          <w:i w:val="0"/>
          <w:iCs w:val="0"/>
          <w:caps w:val="0"/>
          <w:color w:val="0F1115"/>
          <w:spacing w:val="0"/>
          <w:sz w:val="24"/>
          <w:szCs w:val="24"/>
          <w:shd w:val="clear" w:color="auto" w:fill="FFFFFF"/>
        </w:rPr>
        <w:t>青岛瑞源工程集团有限公司将数据治理归口职能设置在</w:t>
      </w:r>
      <w:r>
        <w:rPr>
          <w:rFonts w:ascii="Segoe UI" w:eastAsia="宋体" w:hAnsi="Segoe UI" w:cs="Segoe UI" w:hint="eastAsia"/>
          <w:i w:val="0"/>
          <w:iCs w:val="0"/>
          <w:caps w:val="0"/>
          <w:color w:val="0F1115"/>
          <w:spacing w:val="0"/>
          <w:sz w:val="24"/>
          <w:szCs w:val="24"/>
          <w:shd w:val="clear" w:color="auto" w:fill="FFFFFF"/>
          <w:lang w:val="en-US" w:eastAsia="zh-CN"/>
        </w:rPr>
        <w:t>勘察测绘院地理信息中心</w:t>
      </w:r>
      <w:r>
        <w:rPr>
          <w:rFonts w:ascii="Segoe UI" w:eastAsia="Segoe UI" w:hAnsi="Segoe UI" w:cs="Segoe UI"/>
          <w:i w:val="0"/>
          <w:iCs w:val="0"/>
          <w:caps w:val="0"/>
          <w:color w:val="0F1115"/>
          <w:spacing w:val="0"/>
          <w:sz w:val="24"/>
          <w:szCs w:val="24"/>
          <w:shd w:val="clear" w:color="auto" w:fill="FFFFFF"/>
        </w:rPr>
        <w:t>。该部门重点负责数据战略与规划、数据标准制定、数据平台建设与维护、数据质量管控、数据安全与隐私保护、数据分析和可视化支持以及数据文化的培育等工作。</w:t>
      </w:r>
    </w:p>
    <w:p>
      <w:pPr>
        <w:ind w:firstLine="480" w:firstLineChars="200"/>
        <w:rPr>
          <w:rFonts w:ascii="宋体" w:eastAsia="宋体" w:hAnsi="宋体" w:cs="Times New Roman" w:hint="eastAsia"/>
          <w:color w:val="000000" w:themeColor="text1"/>
          <w:highlight w:val="none"/>
          <w:lang w:val="en-US" w:eastAsia="zh-CN"/>
        </w:rPr>
      </w:pPr>
      <w:r>
        <w:rPr>
          <w:rFonts w:ascii="Segoe UI" w:eastAsia="宋体" w:hAnsi="Segoe UI" w:cs="Segoe UI" w:hint="eastAsia"/>
          <w:i w:val="0"/>
          <w:iCs w:val="0"/>
          <w:caps w:val="0"/>
          <w:color w:val="0F1115"/>
          <w:spacing w:val="0"/>
          <w:sz w:val="24"/>
          <w:szCs w:val="24"/>
          <w:shd w:val="clear" w:color="auto" w:fill="FFFFFF"/>
          <w:lang w:val="en-US" w:eastAsia="zh-CN"/>
        </w:rPr>
        <w:t>地理信息中心</w:t>
      </w:r>
      <w:r>
        <w:rPr>
          <w:rFonts w:ascii="宋体" w:eastAsia="宋体" w:hAnsi="宋体" w:cs="Times New Roman" w:hint="eastAsia"/>
          <w:color w:val="000000" w:themeColor="text1"/>
          <w:highlight w:val="none"/>
          <w:lang w:val="en-US" w:eastAsia="zh-CN"/>
        </w:rPr>
        <w:t>设置了数据治理主管、数据分析工程师、数据安全工程师、数据采集工程师等4个数据治理岗位，共设置了</w:t>
      </w:r>
      <w:r>
        <w:rPr>
          <w:rFonts w:ascii="宋体" w:hAnsi="宋体" w:cs="Times New Roman" w:hint="eastAsia"/>
          <w:color w:val="000000" w:themeColor="text1"/>
          <w:highlight w:val="none"/>
          <w:lang w:val="en-US" w:eastAsia="zh-CN"/>
        </w:rPr>
        <w:t>14</w:t>
      </w:r>
      <w:r>
        <w:rPr>
          <w:rFonts w:ascii="宋体" w:eastAsia="宋体" w:hAnsi="宋体" w:cs="Times New Roman" w:hint="eastAsia"/>
          <w:color w:val="000000" w:themeColor="text1"/>
          <w:highlight w:val="none"/>
          <w:lang w:val="en-US" w:eastAsia="zh-CN"/>
        </w:rPr>
        <w:t xml:space="preserve">名数据治理人员，明确其岗位职责，确保公司能够充分利用数据来支持业务决策和增长。 </w:t>
      </w:r>
    </w:p>
    <w:p>
      <w:pPr>
        <w:pStyle w:val="Heading2"/>
        <w:bidi w:val="0"/>
        <w:rPr>
          <w:rFonts w:hint="eastAsia"/>
          <w:lang w:val="en-US" w:eastAsia="zh-CN"/>
        </w:rPr>
      </w:pPr>
      <w:bookmarkStart w:id="12" w:name="_Toc16406"/>
      <w:r>
        <w:rPr>
          <w:rFonts w:hint="eastAsia"/>
        </w:rPr>
        <w:t>企业优势及特长</w:t>
      </w:r>
      <w:bookmarkEnd w:id="12"/>
    </w:p>
    <w:p>
      <w:pPr>
        <w:ind w:firstLine="480" w:firstLineChars="200"/>
        <w:rPr>
          <w:rFonts w:hint="eastAsia"/>
        </w:rPr>
      </w:pPr>
      <w:r>
        <w:rPr>
          <w:rFonts w:hint="eastAsia"/>
        </w:rPr>
        <w:t>公司核心产品为自主研发的“智慧大脑”服务平台，具备时空大数据管理与决策能力，并衍生出“城市智能巡查”、“应急与指挥系统”“数字蒙阴智慧两山”等一系列智慧政务平台。同时，基于实景三维与数字孪生技术，构建了城市综合运行管理中心、智慧社区等全链条管理服务体系。</w:t>
      </w:r>
    </w:p>
    <w:p>
      <w:pPr>
        <w:ind w:firstLine="480" w:firstLineChars="200"/>
        <w:rPr>
          <w:rFonts w:hint="eastAsia"/>
        </w:rPr>
      </w:pPr>
      <w:r>
        <w:rPr>
          <w:rFonts w:hint="eastAsia"/>
        </w:rPr>
        <w:t>业务范围：业务范围涵盖传统工程与新兴信息服务两大板块。传统工程包括水利水电、海洋码头、市政建设等领域的工程总承包与勘察测绘；新兴领域聚焦地理信息工程、无人机航测、软件开发与系统运维，为数字智慧城市与美丽乡村建设提供一站式服务。</w:t>
      </w:r>
    </w:p>
    <w:p>
      <w:pPr>
        <w:ind w:firstLine="480" w:firstLineChars="200"/>
        <w:rPr>
          <w:rFonts w:hint="eastAsia"/>
        </w:rPr>
      </w:pPr>
      <w:r>
        <w:rPr>
          <w:rFonts w:hint="eastAsia"/>
        </w:rPr>
        <w:t>技术领域：技术根基立足于时空地理信息技术，融合5G、大数据与人工智能，重点发展“无人机+”、“遥感+”服务能力，以及城市信息模型（CIM）与时空信息化等核心技术，实现从数据采集到智能分析的全链条技术覆盖，以创新驱动发展。</w:t>
      </w:r>
    </w:p>
    <w:p>
      <w:pPr>
        <w:rPr>
          <w:rFonts w:hint="eastAsia"/>
          <w:lang w:val="en-US" w:eastAsia="zh-CN"/>
        </w:rPr>
      </w:pPr>
    </w:p>
    <w:p>
      <w:pPr>
        <w:pStyle w:val="Heading1"/>
        <w:bidi w:val="0"/>
        <w:rPr>
          <w:rFonts w:hint="eastAsia"/>
          <w:lang w:val="zh-CN"/>
        </w:rPr>
      </w:pPr>
      <w:bookmarkStart w:id="13" w:name="_Toc31221"/>
      <w:bookmarkStart w:id="14" w:name="_Toc30293"/>
      <w:r>
        <w:rPr>
          <w:rFonts w:hint="eastAsia"/>
          <w:lang w:val="zh-CN"/>
        </w:rPr>
        <w:t>数据情况</w:t>
      </w:r>
      <w:bookmarkEnd w:id="13"/>
      <w:bookmarkEnd w:id="14"/>
    </w:p>
    <w:p>
      <w:pPr>
        <w:ind w:firstLine="480" w:firstLineChars="200"/>
        <w:rPr>
          <w:rFonts w:hint="eastAsia"/>
          <w:lang w:val="zh-CN"/>
        </w:rPr>
      </w:pPr>
      <w:r>
        <w:rPr>
          <w:rFonts w:ascii="宋体" w:hAnsi="宋体" w:hint="eastAsia"/>
          <w:color w:val="000000" w:themeColor="text1"/>
          <w:highlight w:val="yellow"/>
        </w:rPr>
        <w:t>评估对象拥有或管理数据的情况，如数据类型、规模、存储方式及位置、特点、各管理工具的结构化数据量、结构化数据总量等，突出企业在大数据领域的发展情况，在大数据领域的相关市场地位，在数据治理领域的优势等。</w:t>
      </w:r>
    </w:p>
    <w:p>
      <w:pPr>
        <w:ind w:firstLine="480" w:firstLineChars="200"/>
        <w:rPr>
          <w:rFonts w:ascii="宋体" w:eastAsia="宋体" w:hAnsi="宋体" w:cs="Times New Roman" w:hint="eastAsia"/>
          <w:color w:val="000000" w:themeColor="text1"/>
          <w:highlight w:val="none"/>
          <w:lang w:val="en-US" w:eastAsia="zh-CN"/>
        </w:rPr>
      </w:pPr>
      <w:r>
        <w:rPr>
          <w:rFonts w:ascii="宋体" w:hAnsi="宋体" w:cs="Times New Roman" w:hint="eastAsia"/>
          <w:color w:val="000000" w:themeColor="text1"/>
          <w:highlight w:val="none"/>
          <w:lang w:val="en-US" w:eastAsia="zh-CN"/>
        </w:rPr>
        <w:t>青岛瑞源工程集团有限公司</w:t>
      </w:r>
      <w:r>
        <w:rPr>
          <w:rFonts w:ascii="宋体" w:eastAsia="宋体" w:hAnsi="宋体" w:cs="Times New Roman" w:hint="eastAsia"/>
          <w:color w:val="000000" w:themeColor="text1"/>
          <w:highlight w:val="none"/>
          <w:lang w:val="en-US" w:eastAsia="zh-CN"/>
        </w:rPr>
        <w:t>涵盖数据情况多样化，包括工程项目管理数据（预算、进度、成本）、财务数据、人力资源数据、供应链数据、客户信息等结构化数据。半结构化数据，如报告文档、XML格式的工程数据、日志文件、配置文件等半结构化数据，以及非结构化数据，如程现场监控视频、无人机航拍影像、设计文档、合同扫描件</w:t>
      </w:r>
      <w:r>
        <w:rPr>
          <w:rFonts w:ascii="宋体" w:hAnsi="宋体" w:cs="Times New Roman" w:hint="eastAsia"/>
          <w:color w:val="000000" w:themeColor="text1"/>
          <w:highlight w:val="none"/>
          <w:lang w:val="en-US" w:eastAsia="zh-CN"/>
        </w:rPr>
        <w:t>、</w:t>
      </w:r>
      <w:r>
        <w:rPr>
          <w:rFonts w:ascii="宋体" w:eastAsia="宋体" w:hAnsi="宋体" w:cs="Times New Roman" w:hint="eastAsia"/>
          <w:color w:val="000000" w:themeColor="text1"/>
          <w:highlight w:val="none"/>
          <w:lang w:val="en-US" w:eastAsia="zh-CN"/>
        </w:rPr>
        <w:t>工程图片、视频数据、文件和电子邮件通信等信息。</w:t>
      </w:r>
    </w:p>
    <w:p>
      <w:pPr>
        <w:ind w:firstLine="480" w:firstLineChars="200"/>
        <w:rPr>
          <w:rFonts w:ascii="宋体" w:eastAsia="宋体" w:hAnsi="宋体" w:cs="Times New Roman" w:hint="eastAsia"/>
          <w:color w:val="000000" w:themeColor="text1"/>
          <w:highlight w:val="none"/>
          <w:lang w:val="en-US" w:eastAsia="zh-CN"/>
        </w:rPr>
      </w:pPr>
      <w:r>
        <w:rPr>
          <w:rFonts w:ascii="宋体" w:eastAsia="宋体" w:hAnsi="宋体" w:cs="Times New Roman" w:hint="eastAsia"/>
          <w:color w:val="000000" w:themeColor="text1"/>
          <w:highlight w:val="none"/>
          <w:lang w:val="en-US" w:eastAsia="zh-CN"/>
        </w:rPr>
        <w:t>公司结构化数据总量约为</w:t>
      </w:r>
      <w:r>
        <w:rPr>
          <w:rFonts w:ascii="宋体" w:eastAsia="宋体" w:hAnsi="宋体" w:cs="Times New Roman" w:hint="eastAsia"/>
          <w:color w:val="FF0000"/>
          <w:highlight w:val="yellow"/>
          <w:lang w:val="en-US" w:eastAsia="zh-CN"/>
        </w:rPr>
        <w:t>1303.29GB</w:t>
      </w:r>
      <w:r>
        <w:rPr>
          <w:rFonts w:ascii="宋体" w:eastAsia="宋体" w:hAnsi="宋体" w:cs="Times New Roman" w:hint="eastAsia"/>
          <w:color w:val="000000" w:themeColor="text1"/>
          <w:highlight w:val="none"/>
          <w:lang w:val="en-US" w:eastAsia="zh-CN"/>
        </w:rPr>
        <w:t>，存储方式涵盖本地数据中心、云存储和分布式边缘存储。公司注重数据的时效性和重要性，特别关注客户隐私和知识产权的保护。</w:t>
      </w:r>
      <w:r>
        <w:rPr>
          <w:rFonts w:ascii="宋体" w:eastAsia="宋体" w:hAnsi="宋体" w:cs="Times New Roman" w:hint="eastAsia"/>
          <w:color w:val="FF0000"/>
          <w:highlight w:val="yellow"/>
          <w:lang w:val="en-US" w:eastAsia="zh-CN"/>
        </w:rPr>
        <w:t>为管理这一庞大的数据资产，公司采用了多种管理工具，例如：关系型数据库管理系统管理结构化数据，保障数据完整性和一致性。ETL工具，从不同数据源中抽取数据、对数据进行转换和清晰，加载到目标系统中。通过数据仓库存储和管理已U9为主的业务数据。通过Microsoft SharePoint、Google Workspace等文档管理工具创建、存储、共享和管理公司文档。通过Git版本控制系统跟踪和管理代码和文档的版本历史，确保数据的完整性和追溯性。通过Power BI等数据可视化工具将数据以图形和图表的形式可视化，更容易理解数据趋势。通过Keycloak等数据安全工具保护数据的机密性和完整性等其他数据管理工具，保障公司数据的有效管理、保护和分析</w:t>
      </w:r>
      <w:r>
        <w:rPr>
          <w:rFonts w:ascii="宋体" w:eastAsia="宋体" w:hAnsi="宋体" w:cs="Times New Roman" w:hint="eastAsia"/>
          <w:color w:val="000000" w:themeColor="text1"/>
          <w:highlight w:val="yellow"/>
          <w:lang w:val="en-US" w:eastAsia="zh-CN"/>
        </w:rPr>
        <w:t>。</w:t>
      </w:r>
    </w:p>
    <w:p>
      <w:pPr>
        <w:pStyle w:val="Heading1"/>
        <w:numPr>
          <w:numId w:val="0"/>
        </w:numPr>
        <w:bidi w:val="0"/>
        <w:ind w:firstLine="480" w:leftChars="0" w:firstLineChars="200"/>
        <w:rPr>
          <w:rFonts w:ascii="宋体" w:eastAsia="宋体" w:hAnsi="宋体" w:cs="Times New Roman" w:hint="eastAsia"/>
          <w:b w:val="0"/>
          <w:bCs w:val="0"/>
          <w:color w:val="000000" w:themeColor="text1"/>
          <w:kern w:val="2"/>
          <w:sz w:val="24"/>
          <w:szCs w:val="24"/>
          <w:highlight w:val="none"/>
          <w:lang w:val="zh-CN" w:eastAsia="zh-CN" w:bidi="ar-SA"/>
        </w:rPr>
      </w:pPr>
      <w:bookmarkStart w:id="15" w:name="_Toc1881"/>
      <w:bookmarkStart w:id="16" w:name="_Toc26001"/>
      <w:r>
        <w:rPr>
          <w:rFonts w:ascii="宋体" w:eastAsia="宋体" w:hAnsi="宋体" w:cs="Times New Roman" w:hint="eastAsia"/>
          <w:b w:val="0"/>
          <w:bCs w:val="0"/>
          <w:color w:val="000000" w:themeColor="text1"/>
          <w:kern w:val="2"/>
          <w:sz w:val="24"/>
          <w:szCs w:val="24"/>
          <w:highlight w:val="none"/>
          <w:lang w:val="en-US" w:eastAsia="zh-CN" w:bidi="ar-SA"/>
        </w:rPr>
        <w:t>瑞源集团积极推动数字化转型，将大数据、物联网、BIM等技术应用于智慧工地等场景，通过建设集团级数据中台，初步实现了数据的统一治理、共享与服务化。在数据治理方面，集团已建立起初步的数据管理框架和政策，强调数据质量与数据安全，并开始利用数据分析优化运营效率、提升客户服务体验和辅助战略决策。</w:t>
      </w:r>
    </w:p>
    <w:p>
      <w:pPr>
        <w:pStyle w:val="Heading1"/>
        <w:numPr>
          <w:numId w:val="0"/>
        </w:numPr>
        <w:bidi w:val="0"/>
        <w:ind w:leftChars="0"/>
        <w:rPr>
          <w:rFonts w:ascii="宋体" w:eastAsia="宋体" w:hAnsi="宋体" w:cs="Times New Roman" w:hint="eastAsia"/>
          <w:b w:val="0"/>
          <w:bCs w:val="0"/>
          <w:color w:val="000000" w:themeColor="text1"/>
          <w:kern w:val="2"/>
          <w:sz w:val="24"/>
          <w:szCs w:val="24"/>
          <w:highlight w:val="none"/>
          <w:lang w:val="zh-CN" w:eastAsia="zh-CN" w:bidi="ar-SA"/>
        </w:rPr>
      </w:pPr>
    </w:p>
    <w:p>
      <w:pPr>
        <w:pStyle w:val="Heading1"/>
        <w:bidi w:val="0"/>
        <w:rPr>
          <w:rFonts w:ascii="宋体" w:eastAsia="宋体" w:hAnsi="宋体" w:cs="Times New Roman" w:hint="eastAsia"/>
          <w:b w:val="0"/>
          <w:bCs w:val="0"/>
          <w:color w:val="000000" w:themeColor="text1"/>
          <w:kern w:val="2"/>
          <w:sz w:val="24"/>
          <w:szCs w:val="24"/>
          <w:highlight w:val="none"/>
          <w:lang w:val="zh-CN" w:eastAsia="zh-CN" w:bidi="ar-SA"/>
        </w:rPr>
      </w:pPr>
      <w:r>
        <w:rPr>
          <w:rFonts w:ascii="宋体" w:eastAsia="宋体" w:hAnsi="宋体" w:cs="Times New Roman" w:hint="eastAsia"/>
          <w:b w:val="0"/>
          <w:bCs w:val="0"/>
          <w:color w:val="000000" w:themeColor="text1"/>
          <w:kern w:val="2"/>
          <w:sz w:val="24"/>
          <w:szCs w:val="24"/>
          <w:highlight w:val="none"/>
          <w:lang w:val="zh-CN" w:eastAsia="zh-CN" w:bidi="ar-SA"/>
        </w:rPr>
        <w:t>数据管理现状</w:t>
      </w:r>
      <w:bookmarkEnd w:id="15"/>
      <w:bookmarkEnd w:id="16"/>
    </w:p>
    <w:p>
      <w:pPr>
        <w:ind w:firstLine="480" w:firstLineChars="200"/>
        <w:rPr>
          <w:lang w:val="zh-CN"/>
        </w:rPr>
      </w:pPr>
      <w:r>
        <w:rPr>
          <w:rFonts w:ascii="宋体" w:hAnsi="宋体" w:hint="eastAsia"/>
          <w:color w:val="000000" w:themeColor="text1"/>
          <w:highlight w:val="yellow"/>
        </w:rPr>
        <w:t>概括描述评估对象数据管理现状，甲方可从建立数据管理能力的方式（自上而下、自下而上）、建设历程、组织架构保障、管理制度建设、平台工具建设等方面进行描述。</w:t>
      </w:r>
    </w:p>
    <w:p>
      <w:pPr>
        <w:ind w:firstLine="480" w:firstLineChars="200"/>
        <w:rPr>
          <w:rFonts w:ascii="宋体" w:hAnsi="宋体" w:cs="Times New Roman" w:hint="eastAsia"/>
          <w:color w:val="000000" w:themeColor="text1"/>
          <w:highlight w:val="none"/>
          <w:lang w:val="en-US" w:eastAsia="zh-CN"/>
        </w:rPr>
      </w:pPr>
      <w:r>
        <w:rPr>
          <w:rFonts w:ascii="宋体" w:hAnsi="宋体" w:cs="Times New Roman" w:hint="eastAsia"/>
          <w:color w:val="000000" w:themeColor="text1"/>
          <w:highlight w:val="none"/>
          <w:lang w:val="en-US" w:eastAsia="zh-CN"/>
        </w:rPr>
        <w:t>青岛瑞源工程集团有限公司的数据管理能力建设主要采取自上而下的推进方式。随着集团数字化转型战略的明确，高层管理层认识到数据作为核心资产的重要性，主导推动了数据治理体系的建设。其建设历程从早期的部门级信息化应用，逐步发展到集团级系统集成，再到当前的数据中台建设与数据价值挖掘阶段。</w:t>
      </w:r>
    </w:p>
    <w:p>
      <w:pPr>
        <w:ind w:firstLine="480" w:firstLineChars="200"/>
        <w:rPr>
          <w:rFonts w:ascii="宋体" w:hAnsi="宋体" w:cs="Times New Roman" w:hint="eastAsia"/>
          <w:color w:val="000000" w:themeColor="text1"/>
          <w:highlight w:val="none"/>
          <w:lang w:val="en-US" w:eastAsia="zh-CN"/>
        </w:rPr>
      </w:pPr>
      <w:r>
        <w:rPr>
          <w:rFonts w:ascii="宋体" w:hAnsi="宋体" w:cs="Times New Roman" w:hint="eastAsia"/>
          <w:color w:val="000000" w:themeColor="text1"/>
          <w:highlight w:val="none"/>
          <w:lang w:val="en-US" w:eastAsia="zh-CN"/>
        </w:rPr>
        <w:t>在组织架构保障方面，公司建立了由总经理牵头的数据治理委员会，负责数据管理战略的制定与重大决策。勘察测绘院作为归口管理部门，负责具体执行与协调。各业务部门和子公司均设有数据管理员或对接人，确保数据管理要求在基层得到落实。</w:t>
      </w:r>
    </w:p>
    <w:p>
      <w:pPr>
        <w:ind w:firstLine="480" w:firstLineChars="200"/>
        <w:rPr>
          <w:rFonts w:ascii="宋体" w:hAnsi="宋体" w:cs="Times New Roman" w:hint="eastAsia"/>
          <w:color w:val="000000" w:themeColor="text1"/>
          <w:highlight w:val="none"/>
          <w:lang w:val="en-US" w:eastAsia="zh-CN"/>
        </w:rPr>
      </w:pPr>
      <w:r>
        <w:rPr>
          <w:rFonts w:ascii="宋体" w:hAnsi="宋体" w:cs="Times New Roman" w:hint="eastAsia"/>
          <w:color w:val="FF0000"/>
          <w:highlight w:val="yellow"/>
          <w:lang w:val="en-US" w:eastAsia="zh-CN"/>
        </w:rPr>
        <w:t>在管理制度建设方面，集团已初步制定了一系列数据管理制度，包括《数据分类分级管理办法》、《数据安全管理制度》、《数据质量标准》等</w:t>
      </w:r>
      <w:r>
        <w:rPr>
          <w:rFonts w:ascii="宋体" w:hAnsi="宋体" w:cs="Times New Roman" w:hint="eastAsia"/>
          <w:color w:val="000000" w:themeColor="text1"/>
          <w:highlight w:val="none"/>
          <w:lang w:val="en-US" w:eastAsia="zh-CN"/>
        </w:rPr>
        <w:t>，明确了数据所有权、管理流程和责任体系。同时，集团正逐步建立数据管理考核与激励机制，将数据质量与数据应用能力纳入部门及管理干部的绩效考核，推动全员数据素养的提升。</w:t>
      </w:r>
    </w:p>
    <w:p>
      <w:pPr>
        <w:ind w:firstLine="480" w:firstLineChars="200"/>
        <w:rPr>
          <w:rFonts w:ascii="宋体" w:eastAsia="宋体" w:hAnsi="宋体" w:cs="Times New Roman" w:hint="eastAsia"/>
          <w:color w:val="000000" w:themeColor="text1"/>
          <w:highlight w:val="none"/>
          <w:lang w:val="en-US" w:eastAsia="zh-CN"/>
        </w:rPr>
      </w:pPr>
      <w:r>
        <w:rPr>
          <w:rFonts w:ascii="宋体" w:eastAsia="宋体" w:hAnsi="宋体" w:cs="Times New Roman" w:hint="eastAsia"/>
          <w:color w:val="000000" w:themeColor="text1"/>
          <w:highlight w:val="none"/>
          <w:lang w:val="en-US" w:eastAsia="zh-CN"/>
        </w:rPr>
        <w:t>公司已经建立了一套严格的数据管理制度，包括数据分类、安全政策和合规性要求。这些政策和制度帮助确保数据的安全性和合法性，并强调了数据治理的重要性，并建立数据管理提升激励方案，对一般人员、中层管理人员、高层管理人员不同的数据管理能力设定层级标准，积极调动大家看数据用数据、用数据发现问题。</w:t>
      </w:r>
    </w:p>
    <w:p>
      <w:pPr>
        <w:ind w:firstLine="480" w:firstLineChars="200"/>
        <w:rPr>
          <w:rFonts w:ascii="宋体" w:eastAsia="宋体" w:hAnsi="宋体" w:cs="Times New Roman" w:hint="eastAsia"/>
          <w:color w:val="000000" w:themeColor="text1"/>
          <w:highlight w:val="none"/>
          <w:lang w:val="en-US" w:eastAsia="zh-CN"/>
        </w:rPr>
      </w:pPr>
      <w:r>
        <w:rPr>
          <w:rFonts w:ascii="宋体" w:eastAsia="宋体" w:hAnsi="宋体" w:cs="Times New Roman" w:hint="eastAsia"/>
          <w:color w:val="000000" w:themeColor="text1"/>
          <w:highlight w:val="none"/>
          <w:lang w:val="en-US" w:eastAsia="zh-CN"/>
        </w:rPr>
        <w:t>公司采用了一系列数据管理工具，，第一时间传递至中高层管理人员，实时监测和可视化，并同步要求公司管理干部及时查阅分析数据异常，倒逼数据</w:t>
      </w:r>
      <w:bookmarkStart w:id="17" w:name="_GoBack"/>
      <w:bookmarkEnd w:id="17"/>
      <w:r>
        <w:rPr>
          <w:rFonts w:ascii="宋体" w:eastAsia="宋体" w:hAnsi="宋体" w:cs="Times New Roman" w:hint="eastAsia"/>
          <w:color w:val="000000" w:themeColor="text1"/>
          <w:highlight w:val="none"/>
          <w:lang w:val="en-US" w:eastAsia="zh-CN"/>
        </w:rPr>
        <w:t>质量提升，并通过数据支持业务决策。</w:t>
      </w:r>
    </w:p>
    <w:p>
      <w:pPr>
        <w:ind w:firstLine="480" w:firstLineChars="200"/>
        <w:rPr>
          <w:rFonts w:hint="eastAsia"/>
          <w:lang w:val="en-US" w:eastAsia="zh-CN"/>
        </w:rPr>
      </w:pPr>
      <w:r>
        <w:rPr>
          <w:rFonts w:ascii="宋体" w:eastAsia="宋体" w:hAnsi="宋体" w:cs="Times New Roman" w:hint="eastAsia"/>
          <w:color w:val="000000" w:themeColor="text1"/>
          <w:highlight w:val="none"/>
          <w:lang w:val="en-US" w:eastAsia="zh-CN"/>
        </w:rPr>
        <w:t>公司拥有的数据管理工具清单如下：</w:t>
      </w:r>
    </w:p>
    <w:tbl>
      <w:tblPr>
        <w:tblStyle w:val="TableNormal"/>
        <w:tblW w:w="8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25"/>
        <w:gridCol w:w="1587"/>
        <w:gridCol w:w="4709"/>
        <w:gridCol w:w="1349"/>
      </w:tblGrid>
      <w:tr>
        <w:tblPrEx>
          <w:tblW w:w="8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31"/>
          <w:tblHeader/>
          <w:jc w:val="center"/>
        </w:trPr>
        <w:tc>
          <w:tcPr>
            <w:tcW w:w="72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60" w:after="60" w:line="240" w:lineRule="auto"/>
              <w:jc w:val="center"/>
              <w:textAlignment w:val="auto"/>
              <w:rPr>
                <w:rFonts w:ascii="宋体" w:hAnsi="宋体"/>
                <w:color w:val="0D0D0D" w:themeColor="text1" w:themeTint="F2"/>
                <w:sz w:val="21"/>
                <w:szCs w:val="21"/>
              </w:rPr>
            </w:pPr>
            <w:r>
              <w:rPr>
                <w:rFonts w:hint="eastAsia"/>
                <w:b/>
                <w:bCs/>
                <w:spacing w:val="5"/>
                <w:sz w:val="21"/>
                <w:szCs w:val="21"/>
              </w:rPr>
              <w:t>序号</w:t>
            </w:r>
          </w:p>
        </w:tc>
        <w:tc>
          <w:tcPr>
            <w:tcW w:w="1587"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60" w:after="60" w:line="240" w:lineRule="auto"/>
              <w:jc w:val="center"/>
              <w:textAlignment w:val="auto"/>
              <w:rPr>
                <w:rFonts w:ascii="宋体" w:hAnsi="宋体"/>
                <w:color w:val="0D0D0D" w:themeColor="text1" w:themeTint="F2"/>
                <w:sz w:val="21"/>
                <w:szCs w:val="21"/>
              </w:rPr>
            </w:pPr>
            <w:r>
              <w:rPr>
                <w:rFonts w:hint="eastAsia"/>
                <w:b/>
                <w:bCs/>
                <w:spacing w:val="5"/>
                <w:sz w:val="21"/>
                <w:szCs w:val="21"/>
              </w:rPr>
              <w:t>工具名称</w:t>
            </w:r>
          </w:p>
        </w:tc>
        <w:tc>
          <w:tcPr>
            <w:tcW w:w="470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60" w:after="60" w:line="240" w:lineRule="auto"/>
              <w:jc w:val="center"/>
              <w:textAlignment w:val="auto"/>
              <w:rPr>
                <w:rFonts w:ascii="宋体" w:hAnsi="宋体"/>
                <w:color w:val="0D0D0D" w:themeColor="text1" w:themeTint="F2"/>
                <w:sz w:val="21"/>
                <w:szCs w:val="21"/>
              </w:rPr>
            </w:pPr>
            <w:r>
              <w:rPr>
                <w:rFonts w:hint="eastAsia"/>
                <w:b/>
                <w:bCs/>
                <w:spacing w:val="5"/>
                <w:sz w:val="21"/>
                <w:szCs w:val="21"/>
              </w:rPr>
              <w:t>主要功能</w:t>
            </w:r>
          </w:p>
        </w:tc>
        <w:tc>
          <w:tcPr>
            <w:tcW w:w="13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60" w:after="60" w:line="240" w:lineRule="auto"/>
              <w:jc w:val="center"/>
              <w:textAlignment w:val="auto"/>
              <w:rPr>
                <w:rFonts w:eastAsia="宋体" w:hint="default"/>
                <w:b/>
                <w:bCs/>
                <w:spacing w:val="5"/>
                <w:sz w:val="21"/>
                <w:szCs w:val="21"/>
                <w:lang w:val="en-US" w:eastAsia="zh-CN"/>
              </w:rPr>
            </w:pPr>
            <w:r>
              <w:rPr>
                <w:rFonts w:hint="eastAsia"/>
                <w:b/>
                <w:bCs/>
                <w:spacing w:val="5"/>
                <w:sz w:val="21"/>
                <w:szCs w:val="21"/>
                <w:lang w:val="en-US" w:eastAsia="zh-CN"/>
              </w:rPr>
              <w:t>结构数据量</w:t>
            </w:r>
          </w:p>
        </w:tc>
      </w:tr>
      <w:tr>
        <w:tblPrEx>
          <w:tblW w:w="8370" w:type="dxa"/>
          <w:jc w:val="center"/>
          <w:tblLayout w:type="fixed"/>
          <w:tblCellMar>
            <w:top w:w="0" w:type="dxa"/>
            <w:left w:w="108" w:type="dxa"/>
            <w:bottom w:w="0" w:type="dxa"/>
            <w:right w:w="108" w:type="dxa"/>
          </w:tblCellMar>
        </w:tblPrEx>
        <w:trPr>
          <w:trHeight w:val="394"/>
          <w:jc w:val="center"/>
        </w:trPr>
        <w:tc>
          <w:tcPr>
            <w:tcW w:w="72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60" w:after="60" w:line="300" w:lineRule="auto"/>
              <w:textAlignment w:val="auto"/>
              <w:rPr>
                <w:rFonts w:ascii="宋体" w:hAnsi="宋体" w:hint="eastAsia"/>
                <w:sz w:val="21"/>
                <w:szCs w:val="21"/>
              </w:rPr>
            </w:pPr>
            <w:r>
              <w:rPr>
                <w:rFonts w:ascii="宋体" w:hAnsi="宋体" w:hint="eastAsia"/>
                <w:sz w:val="21"/>
                <w:szCs w:val="21"/>
              </w:rPr>
              <w:t>1</w:t>
            </w:r>
          </w:p>
        </w:tc>
        <w:tc>
          <w:tcPr>
            <w:tcW w:w="1587" w:type="dxa"/>
            <w:shd w:val="clear" w:color="auto" w:fill="auto"/>
            <w:vAlign w:val="center"/>
          </w:tcPr>
          <w:p>
            <w:pPr>
              <w:spacing w:before="60" w:after="60"/>
              <w:rPr>
                <w:rFonts w:ascii="宋体" w:eastAsia="宋体" w:hAnsi="宋体" w:cs="Times New Roman" w:hint="eastAsia"/>
                <w:spacing w:val="5"/>
                <w:kern w:val="2"/>
                <w:sz w:val="21"/>
                <w:szCs w:val="21"/>
                <w:lang w:val="en-US" w:eastAsia="zh-CN" w:bidi="ar-SA"/>
              </w:rPr>
            </w:pPr>
            <w:r>
              <w:rPr>
                <w:rFonts w:cs="Times New Roman" w:hint="eastAsia"/>
                <w:lang w:val="en-US" w:eastAsia="zh-CN"/>
              </w:rPr>
              <w:t>瑞源工程财务管理</w:t>
            </w:r>
          </w:p>
        </w:tc>
        <w:tc>
          <w:tcPr>
            <w:tcW w:w="4709" w:type="dxa"/>
            <w:shd w:val="clear" w:color="auto" w:fill="auto"/>
            <w:vAlign w:val="center"/>
          </w:tcPr>
          <w:p>
            <w:pPr>
              <w:spacing w:before="60" w:after="60" w:line="240" w:lineRule="auto"/>
              <w:rPr>
                <w:rFonts w:ascii="宋体" w:eastAsia="宋体" w:hAnsi="宋体" w:cs="Times New Roman" w:hint="eastAsia"/>
                <w:spacing w:val="5"/>
                <w:kern w:val="2"/>
                <w:sz w:val="21"/>
                <w:szCs w:val="21"/>
                <w:lang w:val="en-US" w:eastAsia="zh-CN" w:bidi="ar-SA"/>
              </w:rPr>
            </w:pPr>
            <w:r>
              <w:rPr>
                <w:rFonts w:ascii="宋体" w:hAnsi="宋体" w:cs="宋体"/>
                <w:sz w:val="21"/>
                <w:szCs w:val="21"/>
              </w:rPr>
              <w:t>财务核算系统：总账、固定资产、仓库管理、存货核算、财务报表</w:t>
            </w:r>
          </w:p>
        </w:tc>
        <w:tc>
          <w:tcPr>
            <w:tcW w:w="13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60" w:after="60" w:line="300" w:lineRule="auto"/>
              <w:textAlignment w:val="auto"/>
              <w:rPr>
                <w:rFonts w:ascii="宋体" w:hAnsi="宋体" w:hint="eastAsia"/>
                <w:sz w:val="21"/>
                <w:szCs w:val="21"/>
              </w:rPr>
            </w:pPr>
            <w:r>
              <w:rPr>
                <w:rFonts w:ascii="宋体" w:hAnsi="宋体" w:hint="eastAsia"/>
                <w:sz w:val="21"/>
                <w:szCs w:val="21"/>
                <w:lang w:eastAsia="zh-CN"/>
              </w:rPr>
              <w:t>GB</w:t>
            </w:r>
          </w:p>
        </w:tc>
      </w:tr>
      <w:tr>
        <w:tblPrEx>
          <w:tblW w:w="8370" w:type="dxa"/>
          <w:jc w:val="center"/>
          <w:tblLayout w:type="fixed"/>
          <w:tblCellMar>
            <w:top w:w="0" w:type="dxa"/>
            <w:left w:w="108" w:type="dxa"/>
            <w:bottom w:w="0" w:type="dxa"/>
            <w:right w:w="108" w:type="dxa"/>
          </w:tblCellMar>
        </w:tblPrEx>
        <w:trPr>
          <w:trHeight w:val="394"/>
          <w:jc w:val="center"/>
        </w:trPr>
        <w:tc>
          <w:tcPr>
            <w:tcW w:w="72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60" w:after="60" w:line="300" w:lineRule="auto"/>
              <w:textAlignment w:val="auto"/>
              <w:rPr>
                <w:rFonts w:ascii="宋体" w:hAnsi="宋体" w:hint="eastAsia"/>
                <w:sz w:val="21"/>
                <w:szCs w:val="21"/>
              </w:rPr>
            </w:pPr>
            <w:r>
              <w:rPr>
                <w:rFonts w:ascii="宋体" w:hAnsi="宋体" w:hint="eastAsia"/>
                <w:sz w:val="21"/>
                <w:szCs w:val="21"/>
              </w:rPr>
              <w:t>2</w:t>
            </w:r>
          </w:p>
        </w:tc>
        <w:tc>
          <w:tcPr>
            <w:tcW w:w="1587" w:type="dxa"/>
            <w:shd w:val="clear" w:color="auto" w:fill="auto"/>
            <w:vAlign w:val="center"/>
          </w:tcPr>
          <w:p>
            <w:pPr>
              <w:spacing w:before="60" w:after="60"/>
              <w:rPr>
                <w:rFonts w:ascii="宋体" w:eastAsia="宋体" w:hAnsi="宋体" w:cs="Times New Roman" w:hint="eastAsia"/>
                <w:kern w:val="2"/>
                <w:sz w:val="21"/>
                <w:szCs w:val="21"/>
                <w:lang w:val="en-US" w:eastAsia="zh-CN" w:bidi="ar-SA"/>
              </w:rPr>
            </w:pPr>
            <w:r>
              <w:rPr>
                <w:rFonts w:eastAsia="宋体" w:cs="Times New Roman" w:hint="eastAsia"/>
                <w:lang w:val="en-US" w:eastAsia="zh-CN"/>
              </w:rPr>
              <w:t>办公自动化系统OA</w:t>
            </w:r>
          </w:p>
        </w:tc>
        <w:tc>
          <w:tcPr>
            <w:tcW w:w="4709" w:type="dxa"/>
            <w:shd w:val="clear" w:color="auto" w:fill="auto"/>
            <w:vAlign w:val="center"/>
          </w:tcPr>
          <w:p>
            <w:pPr>
              <w:spacing w:before="60" w:after="60"/>
              <w:rPr>
                <w:rFonts w:ascii="宋体" w:eastAsia="宋体" w:hAnsi="宋体" w:cs="Times New Roman" w:hint="eastAsia"/>
                <w:kern w:val="2"/>
                <w:sz w:val="21"/>
                <w:szCs w:val="21"/>
                <w:lang w:val="en-US" w:eastAsia="zh-CN" w:bidi="ar-SA"/>
              </w:rPr>
            </w:pPr>
            <w:r>
              <w:rPr>
                <w:rFonts w:ascii="宋体" w:hAnsi="宋体" w:hint="eastAsia"/>
                <w:sz w:val="21"/>
                <w:szCs w:val="21"/>
              </w:rPr>
              <w:t>合同管理、物</w:t>
            </w:r>
            <w:r>
              <w:rPr>
                <w:rFonts w:ascii="宋体" w:hAnsi="宋体" w:hint="eastAsia"/>
                <w:sz w:val="21"/>
                <w:szCs w:val="21"/>
                <w:lang w:val="en-US" w:eastAsia="zh-CN"/>
              </w:rPr>
              <w:t>资</w:t>
            </w:r>
            <w:r>
              <w:rPr>
                <w:rFonts w:ascii="宋体" w:hAnsi="宋体" w:hint="eastAsia"/>
                <w:sz w:val="21"/>
                <w:szCs w:val="21"/>
              </w:rPr>
              <w:t>管理、数据分析、风险管理、协同办公、</w:t>
            </w:r>
            <w:r>
              <w:rPr>
                <w:rFonts w:ascii="宋体" w:hAnsi="宋体" w:hint="eastAsia"/>
                <w:sz w:val="21"/>
                <w:szCs w:val="21"/>
                <w:lang w:val="en-US" w:eastAsia="zh-CN"/>
              </w:rPr>
              <w:t>人力资源</w:t>
            </w:r>
            <w:r>
              <w:rPr>
                <w:rFonts w:ascii="宋体" w:hAnsi="宋体" w:hint="eastAsia"/>
                <w:sz w:val="21"/>
                <w:szCs w:val="21"/>
              </w:rPr>
              <w:t>等功能。</w:t>
            </w:r>
          </w:p>
        </w:tc>
        <w:tc>
          <w:tcPr>
            <w:tcW w:w="13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60" w:after="60" w:line="300" w:lineRule="auto"/>
              <w:textAlignment w:val="auto"/>
              <w:rPr>
                <w:rFonts w:ascii="宋体" w:hAnsi="宋体" w:hint="default"/>
                <w:sz w:val="21"/>
                <w:szCs w:val="21"/>
                <w:lang w:val="en-US"/>
              </w:rPr>
            </w:pPr>
            <w:r>
              <w:rPr>
                <w:rFonts w:ascii="宋体" w:hAnsi="宋体" w:hint="eastAsia"/>
                <w:sz w:val="21"/>
                <w:szCs w:val="21"/>
                <w:lang w:val="en-US" w:eastAsia="zh-CN"/>
              </w:rPr>
              <w:t>GB</w:t>
            </w:r>
          </w:p>
        </w:tc>
      </w:tr>
    </w:tbl>
    <w:p>
      <w:r>
        <w:tab/>
      </w:r>
    </w:p>
    <w:p>
      <w:pPr>
        <w:rPr>
          <w:rFonts w:ascii="宋体" w:hAnsi="宋体"/>
          <w:color w:val="000000" w:themeColor="text1"/>
        </w:rPr>
      </w:pPr>
    </w:p>
    <w:p>
      <w:pPr>
        <w:rPr>
          <w:color w:val="000000" w:themeColor="text1"/>
        </w:rPr>
      </w:pPr>
    </w:p>
    <w:sectPr>
      <w:footerReference w:type="default" r:id="rId7"/>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31669872"/>
      <w:richText/>
    </w:sdtPr>
    <w:sdtContent>
      <w:sdt>
        <w:sdtPr>
          <w:id w:val="1728636285"/>
          <w:richText/>
        </w:sdtPr>
        <w:sdtContent>
          <w:p>
            <w:pPr>
              <w:pStyle w:val="Footer"/>
              <w:jc w:val="center"/>
            </w:pPr>
            <w:r>
              <w:rPr>
                <w:lang w:val="zh-CN"/>
              </w:rPr>
              <w:t xml:space="preserve"> </w:t>
            </w:r>
            <w:r>
              <w:rPr>
                <w:sz w:val="24"/>
                <w:szCs w:val="24"/>
              </w:rPr>
              <w:fldChar w:fldCharType="begin"/>
            </w:r>
            <w:r>
              <w:instrText>PAGE</w:instrText>
            </w:r>
            <w:r>
              <w:rPr>
                <w:sz w:val="24"/>
                <w:szCs w:val="24"/>
              </w:rPr>
              <w:fldChar w:fldCharType="separate"/>
            </w:r>
            <w:r>
              <w:t>4</w:t>
            </w:r>
            <w:r>
              <w:rPr>
                <w:sz w:val="24"/>
                <w:szCs w:val="24"/>
              </w:rPr>
              <w:fldChar w:fldCharType="end"/>
            </w:r>
            <w:r>
              <w:rPr>
                <w:lang w:val="zh-CN"/>
              </w:rPr>
              <w:t xml:space="preserve"> / </w:t>
            </w:r>
            <w:r>
              <w:rPr>
                <w:sz w:val="24"/>
                <w:szCs w:val="24"/>
              </w:rPr>
              <w:fldChar w:fldCharType="begin"/>
            </w:r>
            <w:r>
              <w:instrText>NUMPAGES</w:instrText>
            </w:r>
            <w:r>
              <w:rPr>
                <w:sz w:val="24"/>
                <w:szCs w:val="24"/>
              </w:rPr>
              <w:fldChar w:fldCharType="separate"/>
            </w:r>
            <w:r>
              <w:t>5</w:t>
            </w:r>
            <w:r>
              <w:rPr>
                <w:sz w:val="24"/>
                <w:szCs w:val="24"/>
              </w:rPr>
              <w:fldChar w:fldCharType="end"/>
            </w:r>
          </w:p>
        </w:sdtContent>
      </w:sdt>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C0437F0"/>
    <w:multiLevelType w:val="singleLevel"/>
    <w:tmpl w:val="CC0437F0"/>
    <w:lvl w:ilvl="0">
      <w:start w:val="1"/>
      <w:numFmt w:val="decimal"/>
      <w:suff w:val="nothing"/>
      <w:lvlText w:val="%1）"/>
      <w:lvlJc w:val="left"/>
      <w:pPr>
        <w:ind w:left="240"/>
      </w:pPr>
    </w:lvl>
  </w:abstractNum>
  <w:abstractNum w:abstractNumId="1">
    <w:nsid w:val="2F0A4CDA"/>
    <w:multiLevelType w:val="multilevel"/>
    <w:tmpl w:val="2F0A4CD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Y2ZjJiOTU0MmI2YTkxMjM2YTQ4YmNlZTVkZTM4Y2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qFormat="1"/>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qFormat="1"/>
    <w:lsdException w:name="Plain Text"/>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TOC2"/>
    <w:qFormat/>
    <w:pPr>
      <w:widowControl w:val="0"/>
      <w:spacing w:line="360" w:lineRule="auto"/>
      <w:jc w:val="both"/>
    </w:pPr>
    <w:rPr>
      <w:rFonts w:ascii="Calibri" w:eastAsia="宋体" w:hAnsi="Calibri" w:cs="Times New Roman"/>
      <w:kern w:val="2"/>
      <w:sz w:val="24"/>
      <w:szCs w:val="24"/>
      <w:lang w:val="en-US" w:eastAsia="zh-CN" w:bidi="ar-SA"/>
    </w:rPr>
  </w:style>
  <w:style w:type="paragraph" w:styleId="Heading1">
    <w:name w:val="heading 1"/>
    <w:basedOn w:val="Normal"/>
    <w:next w:val="Normal"/>
    <w:link w:val="1"/>
    <w:uiPriority w:val="9"/>
    <w:qFormat/>
    <w:pPr>
      <w:keepNext/>
      <w:keepLines/>
      <w:numPr>
        <w:ilvl w:val="0"/>
        <w:numId w:val="1"/>
      </w:numPr>
      <w:spacing w:before="240" w:after="240"/>
      <w:ind w:left="431" w:hanging="431"/>
      <w:outlineLvl w:val="0"/>
    </w:pPr>
    <w:rPr>
      <w:rFonts w:ascii="微软雅黑" w:eastAsia="黑体" w:hAnsi="微软雅黑"/>
      <w:b/>
      <w:bCs/>
      <w:kern w:val="44"/>
      <w:sz w:val="36"/>
      <w:szCs w:val="44"/>
    </w:rPr>
  </w:style>
  <w:style w:type="paragraph" w:styleId="Heading2">
    <w:name w:val="heading 2"/>
    <w:basedOn w:val="Normal"/>
    <w:next w:val="Normal"/>
    <w:link w:val="2"/>
    <w:uiPriority w:val="9"/>
    <w:unhideWhenUsed/>
    <w:qFormat/>
    <w:pPr>
      <w:keepNext/>
      <w:keepLines/>
      <w:numPr>
        <w:ilvl w:val="1"/>
        <w:numId w:val="1"/>
      </w:numPr>
      <w:spacing w:before="240" w:after="240"/>
      <w:ind w:left="578" w:hanging="578"/>
      <w:outlineLvl w:val="1"/>
    </w:pPr>
    <w:rPr>
      <w:rFonts w:ascii="微软雅黑" w:eastAsia="黑体" w:hAnsi="微软雅黑"/>
      <w:b/>
      <w:bCs/>
      <w:sz w:val="32"/>
      <w:szCs w:val="36"/>
    </w:rPr>
  </w:style>
  <w:style w:type="paragraph" w:styleId="Heading3">
    <w:name w:val="heading 3"/>
    <w:basedOn w:val="Normal"/>
    <w:next w:val="Normal"/>
    <w:link w:val="3"/>
    <w:uiPriority w:val="9"/>
    <w:unhideWhenUsed/>
    <w:qFormat/>
    <w:pPr>
      <w:keepNext/>
      <w:keepLines/>
      <w:numPr>
        <w:ilvl w:val="2"/>
        <w:numId w:val="1"/>
      </w:numPr>
      <w:spacing w:before="120" w:after="120"/>
      <w:outlineLvl w:val="2"/>
    </w:pPr>
    <w:rPr>
      <w:rFonts w:ascii="华文仿宋" w:eastAsia="黑体" w:hAnsi="华文仿宋"/>
      <w:b/>
      <w:bCs/>
      <w:sz w:val="30"/>
      <w:szCs w:val="30"/>
    </w:rPr>
  </w:style>
  <w:style w:type="paragraph" w:styleId="Heading4">
    <w:name w:val="heading 4"/>
    <w:basedOn w:val="Normal"/>
    <w:next w:val="Normal"/>
    <w:link w:val="4"/>
    <w:uiPriority w:val="9"/>
    <w:unhideWhenUsed/>
    <w:qFormat/>
    <w:pPr>
      <w:keepNext/>
      <w:keepLines/>
      <w:numPr>
        <w:ilvl w:val="3"/>
        <w:numId w:val="1"/>
      </w:numPr>
      <w:spacing w:before="120" w:after="120"/>
      <w:ind w:left="862" w:hanging="862"/>
      <w:outlineLvl w:val="3"/>
    </w:pPr>
    <w:rPr>
      <w:rFonts w:ascii="华文仿宋" w:eastAsia="黑体" w:hAnsi="华文仿宋"/>
      <w:b/>
      <w:bCs/>
      <w:sz w:val="28"/>
      <w:szCs w:val="32"/>
    </w:rPr>
  </w:style>
  <w:style w:type="paragraph" w:styleId="Heading5">
    <w:name w:val="heading 5"/>
    <w:basedOn w:val="Normal"/>
    <w:next w:val="Normal"/>
    <w:link w:val="5"/>
    <w:uiPriority w:val="9"/>
    <w:unhideWhenUsed/>
    <w:qFormat/>
    <w:pPr>
      <w:keepNext/>
      <w:keepLines/>
      <w:numPr>
        <w:ilvl w:val="4"/>
        <w:numId w:val="1"/>
      </w:numPr>
      <w:spacing w:before="120" w:after="120"/>
      <w:ind w:left="1009" w:hanging="1009"/>
      <w:outlineLvl w:val="4"/>
    </w:pPr>
    <w:rPr>
      <w:rFonts w:eastAsia="黑体"/>
      <w:b/>
      <w:bCs/>
      <w:szCs w:val="28"/>
    </w:rPr>
  </w:style>
  <w:style w:type="paragraph" w:styleId="Heading6">
    <w:name w:val="heading 6"/>
    <w:basedOn w:val="Normal"/>
    <w:next w:val="Normal"/>
    <w:link w:val="6"/>
    <w:autoRedefine/>
    <w:uiPriority w:val="9"/>
    <w:unhideWhenUsed/>
    <w:qFormat/>
    <w:pPr>
      <w:keepNext/>
      <w:keepLines/>
      <w:numPr>
        <w:ilvl w:val="5"/>
        <w:numId w:val="1"/>
      </w:numPr>
      <w:spacing w:before="120" w:after="120"/>
      <w:ind w:left="1151" w:hanging="1151"/>
      <w:outlineLvl w:val="5"/>
    </w:pPr>
    <w:rPr>
      <w:rFonts w:ascii="Cambria" w:hAnsi="Cambria"/>
      <w:b/>
      <w:bCs/>
    </w:rPr>
  </w:style>
  <w:style w:type="paragraph" w:styleId="Heading7">
    <w:name w:val="heading 7"/>
    <w:basedOn w:val="Normal"/>
    <w:next w:val="Normal"/>
    <w:link w:val="7"/>
    <w:uiPriority w:val="9"/>
    <w:semiHidden/>
    <w:unhideWhenUsed/>
    <w:qFormat/>
    <w:pPr>
      <w:keepNext/>
      <w:keepLines/>
      <w:numPr>
        <w:ilvl w:val="6"/>
        <w:numId w:val="1"/>
      </w:numPr>
      <w:spacing w:before="240" w:after="64" w:line="320" w:lineRule="auto"/>
      <w:outlineLvl w:val="6"/>
    </w:pPr>
    <w:rPr>
      <w:b/>
      <w:bCs/>
    </w:rPr>
  </w:style>
  <w:style w:type="paragraph" w:styleId="Heading8">
    <w:name w:val="heading 8"/>
    <w:basedOn w:val="Normal"/>
    <w:next w:val="Normal"/>
    <w:link w:val="8"/>
    <w:uiPriority w:val="9"/>
    <w:semiHidden/>
    <w:unhideWhenUsed/>
    <w:qFormat/>
    <w:pPr>
      <w:keepNext/>
      <w:keepLines/>
      <w:numPr>
        <w:ilvl w:val="7"/>
        <w:numId w:val="1"/>
      </w:numPr>
      <w:spacing w:before="240" w:after="64" w:line="320" w:lineRule="auto"/>
      <w:outlineLvl w:val="7"/>
    </w:pPr>
    <w:rPr>
      <w:rFonts w:ascii="Cambria" w:hAnsi="Cambria"/>
    </w:rPr>
  </w:style>
  <w:style w:type="paragraph" w:styleId="Heading9">
    <w:name w:val="heading 9"/>
    <w:basedOn w:val="Normal"/>
    <w:next w:val="Normal"/>
    <w:link w:val="9"/>
    <w:autoRedefine/>
    <w:uiPriority w:val="9"/>
    <w:semiHidden/>
    <w:unhideWhenUsed/>
    <w:qFormat/>
    <w:pPr>
      <w:keepNext/>
      <w:keepLines/>
      <w:numPr>
        <w:ilvl w:val="8"/>
        <w:numId w:val="1"/>
      </w:numPr>
      <w:spacing w:before="240" w:after="64" w:line="320" w:lineRule="auto"/>
      <w:outlineLvl w:val="8"/>
    </w:pPr>
    <w:rPr>
      <w:rFonts w:ascii="Cambria" w:hAnsi="Cambria"/>
      <w:sz w:val="21"/>
      <w:szCs w:val="21"/>
    </w:rPr>
  </w:style>
  <w:style w:type="character" w:default="1" w:styleId="DefaultParagraphFont">
    <w:name w:val="Default Paragraph Font"/>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TOC2">
    <w:name w:val="toc 2"/>
    <w:basedOn w:val="Normal"/>
    <w:next w:val="Normal"/>
    <w:uiPriority w:val="39"/>
    <w:unhideWhenUsed/>
    <w:qFormat/>
    <w:pPr>
      <w:ind w:left="420" w:leftChars="200"/>
    </w:pPr>
  </w:style>
  <w:style w:type="paragraph" w:styleId="DocumentMap">
    <w:name w:val="Document Map"/>
    <w:basedOn w:val="Normal"/>
    <w:link w:val="a1"/>
    <w:uiPriority w:val="99"/>
    <w:semiHidden/>
    <w:unhideWhenUsed/>
    <w:qFormat/>
    <w:rPr>
      <w:rFonts w:ascii="宋体"/>
      <w:sz w:val="18"/>
      <w:szCs w:val="18"/>
    </w:rPr>
  </w:style>
  <w:style w:type="paragraph" w:styleId="BodyText">
    <w:name w:val="Body Text"/>
    <w:basedOn w:val="Normal"/>
    <w:semiHidden/>
    <w:qFormat/>
    <w:rPr>
      <w:rFonts w:ascii="宋体" w:eastAsia="宋体" w:hAnsi="宋体" w:cs="宋体"/>
      <w:sz w:val="31"/>
      <w:szCs w:val="31"/>
      <w:lang w:val="en-US" w:eastAsia="en-US" w:bidi="ar-SA"/>
    </w:rPr>
  </w:style>
  <w:style w:type="paragraph" w:styleId="TOC3">
    <w:name w:val="toc 3"/>
    <w:basedOn w:val="Normal"/>
    <w:next w:val="Normal"/>
    <w:uiPriority w:val="39"/>
    <w:unhideWhenUsed/>
    <w:qFormat/>
    <w:pPr>
      <w:ind w:left="840" w:leftChars="400"/>
    </w:pPr>
  </w:style>
  <w:style w:type="paragraph" w:styleId="Date">
    <w:name w:val="Date"/>
    <w:basedOn w:val="Normal"/>
    <w:next w:val="Normal"/>
    <w:link w:val="a3"/>
    <w:uiPriority w:val="99"/>
    <w:semiHidden/>
    <w:unhideWhenUsed/>
    <w:qFormat/>
    <w:pPr>
      <w:ind w:left="100" w:leftChars="2500"/>
    </w:p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style>
  <w:style w:type="paragraph" w:styleId="NormalWeb">
    <w:name w:val="Normal (Web)"/>
    <w:basedOn w:val="Normal"/>
    <w:autoRedefine/>
    <w:uiPriority w:val="99"/>
    <w:semiHidden/>
    <w:unhideWhenUsed/>
    <w:qFormat/>
    <w:pPr>
      <w:widowControl/>
      <w:spacing w:before="150" w:after="150" w:line="240" w:lineRule="auto"/>
      <w:jc w:val="left"/>
    </w:pPr>
    <w:rPr>
      <w:rFonts w:ascii="宋体" w:hAnsi="宋体" w:cs="宋体"/>
      <w:kern w:val="0"/>
    </w:rPr>
  </w:style>
  <w:style w:type="character" w:styleId="Strong">
    <w:name w:val="Strong"/>
    <w:basedOn w:val="DefaultParagraphFont"/>
    <w:uiPriority w:val="22"/>
    <w:qFormat/>
    <w:rPr>
      <w:b/>
    </w:rPr>
  </w:style>
  <w:style w:type="character" w:styleId="Emphasis">
    <w:name w:val="Emphasis"/>
    <w:autoRedefine/>
    <w:uiPriority w:val="20"/>
    <w:qFormat/>
    <w:rPr>
      <w:i/>
      <w:iCs/>
    </w:rPr>
  </w:style>
  <w:style w:type="character" w:styleId="Hyperlink">
    <w:name w:val="Hyperlink"/>
    <w:uiPriority w:val="99"/>
    <w:unhideWhenUsed/>
    <w:qFormat/>
    <w:rPr>
      <w:color w:val="0000FF"/>
      <w:u w:val="single"/>
    </w:rPr>
  </w:style>
  <w:style w:type="character" w:customStyle="1" w:styleId="a">
    <w:name w:val="页眉 字符"/>
    <w:link w:val="Header"/>
    <w:uiPriority w:val="99"/>
    <w:qFormat/>
    <w:rPr>
      <w:sz w:val="18"/>
      <w:szCs w:val="18"/>
    </w:rPr>
  </w:style>
  <w:style w:type="character" w:customStyle="1" w:styleId="a0">
    <w:name w:val="页脚 字符"/>
    <w:link w:val="Footer"/>
    <w:uiPriority w:val="99"/>
    <w:qFormat/>
    <w:rPr>
      <w:sz w:val="18"/>
      <w:szCs w:val="18"/>
    </w:rPr>
  </w:style>
  <w:style w:type="character" w:customStyle="1" w:styleId="1">
    <w:name w:val="标题 1 字符"/>
    <w:link w:val="Heading1"/>
    <w:uiPriority w:val="9"/>
    <w:qFormat/>
    <w:rPr>
      <w:rFonts w:ascii="微软雅黑" w:eastAsia="黑体" w:hAnsi="微软雅黑"/>
      <w:b/>
      <w:bCs/>
      <w:kern w:val="44"/>
      <w:sz w:val="36"/>
      <w:szCs w:val="44"/>
    </w:rPr>
  </w:style>
  <w:style w:type="paragraph" w:styleId="ListParagraph">
    <w:name w:val="List Paragraph"/>
    <w:basedOn w:val="Normal"/>
    <w:uiPriority w:val="34"/>
    <w:qFormat/>
    <w:pPr>
      <w:ind w:firstLine="420" w:firstLineChars="200"/>
    </w:pPr>
  </w:style>
  <w:style w:type="character" w:customStyle="1" w:styleId="2">
    <w:name w:val="标题 2 字符"/>
    <w:link w:val="Heading2"/>
    <w:uiPriority w:val="9"/>
    <w:qFormat/>
    <w:rPr>
      <w:rFonts w:ascii="微软雅黑" w:eastAsia="黑体" w:hAnsi="微软雅黑"/>
      <w:b/>
      <w:bCs/>
      <w:kern w:val="2"/>
      <w:sz w:val="32"/>
      <w:szCs w:val="36"/>
    </w:rPr>
  </w:style>
  <w:style w:type="character" w:customStyle="1" w:styleId="3">
    <w:name w:val="标题 3 字符"/>
    <w:link w:val="Heading3"/>
    <w:uiPriority w:val="9"/>
    <w:qFormat/>
    <w:rPr>
      <w:rFonts w:ascii="华文仿宋" w:eastAsia="黑体" w:hAnsi="华文仿宋"/>
      <w:b/>
      <w:bCs/>
      <w:kern w:val="2"/>
      <w:sz w:val="30"/>
      <w:szCs w:val="30"/>
    </w:rPr>
  </w:style>
  <w:style w:type="character" w:customStyle="1" w:styleId="4">
    <w:name w:val="标题 4 字符"/>
    <w:link w:val="Heading4"/>
    <w:uiPriority w:val="9"/>
    <w:qFormat/>
    <w:rPr>
      <w:rFonts w:ascii="华文仿宋" w:eastAsia="黑体" w:hAnsi="华文仿宋"/>
      <w:b/>
      <w:bCs/>
      <w:kern w:val="2"/>
      <w:sz w:val="28"/>
      <w:szCs w:val="32"/>
    </w:rPr>
  </w:style>
  <w:style w:type="character" w:customStyle="1" w:styleId="5">
    <w:name w:val="标题 5 字符"/>
    <w:link w:val="Heading5"/>
    <w:uiPriority w:val="9"/>
    <w:qFormat/>
    <w:rPr>
      <w:rFonts w:eastAsia="黑体"/>
      <w:b/>
      <w:bCs/>
      <w:kern w:val="2"/>
      <w:sz w:val="24"/>
      <w:szCs w:val="28"/>
    </w:rPr>
  </w:style>
  <w:style w:type="character" w:customStyle="1" w:styleId="6">
    <w:name w:val="标题 6 字符"/>
    <w:link w:val="Heading6"/>
    <w:uiPriority w:val="9"/>
    <w:qFormat/>
    <w:rPr>
      <w:rFonts w:ascii="Cambria" w:hAnsi="Cambria"/>
      <w:b/>
      <w:bCs/>
      <w:kern w:val="2"/>
      <w:sz w:val="24"/>
      <w:szCs w:val="24"/>
    </w:rPr>
  </w:style>
  <w:style w:type="character" w:customStyle="1" w:styleId="7">
    <w:name w:val="标题 7 字符"/>
    <w:link w:val="Heading7"/>
    <w:uiPriority w:val="9"/>
    <w:semiHidden/>
    <w:qFormat/>
    <w:rPr>
      <w:b/>
      <w:bCs/>
      <w:szCs w:val="24"/>
    </w:rPr>
  </w:style>
  <w:style w:type="character" w:customStyle="1" w:styleId="8">
    <w:name w:val="标题 8 字符"/>
    <w:link w:val="Heading8"/>
    <w:uiPriority w:val="9"/>
    <w:semiHidden/>
    <w:qFormat/>
    <w:rPr>
      <w:rFonts w:ascii="Cambria" w:eastAsia="宋体" w:hAnsi="Cambria" w:cs="Times New Roman"/>
      <w:szCs w:val="24"/>
    </w:rPr>
  </w:style>
  <w:style w:type="character" w:customStyle="1" w:styleId="9">
    <w:name w:val="标题 9 字符"/>
    <w:link w:val="Heading9"/>
    <w:uiPriority w:val="9"/>
    <w:semiHidden/>
    <w:qFormat/>
    <w:rPr>
      <w:rFonts w:ascii="Cambria" w:eastAsia="宋体" w:hAnsi="Cambria" w:cs="Times New Roman"/>
      <w:sz w:val="21"/>
      <w:szCs w:val="21"/>
    </w:rPr>
  </w:style>
  <w:style w:type="character" w:customStyle="1" w:styleId="a1">
    <w:name w:val="文档结构图 字符"/>
    <w:link w:val="DocumentMap"/>
    <w:uiPriority w:val="99"/>
    <w:semiHidden/>
    <w:qFormat/>
    <w:rPr>
      <w:rFonts w:ascii="宋体" w:eastAsia="宋体"/>
      <w:sz w:val="18"/>
      <w:szCs w:val="18"/>
    </w:rPr>
  </w:style>
  <w:style w:type="character" w:customStyle="1" w:styleId="apple-style-span">
    <w:name w:val="apple-style-span"/>
    <w:basedOn w:val="DefaultParagraphFont"/>
    <w:qFormat/>
  </w:style>
  <w:style w:type="character" w:customStyle="1" w:styleId="guimenu">
    <w:name w:val="guimenu"/>
    <w:basedOn w:val="DefaultParagraphFont"/>
    <w:qFormat/>
  </w:style>
  <w:style w:type="character" w:customStyle="1" w:styleId="guimenuitem">
    <w:name w:val="guimenuitem"/>
    <w:basedOn w:val="DefaultParagraphFont"/>
    <w:qFormat/>
  </w:style>
  <w:style w:type="paragraph" w:styleId="NoSpacing">
    <w:name w:val="No Spacing"/>
    <w:basedOn w:val="Normal"/>
    <w:next w:val="Normal"/>
    <w:link w:val="a2"/>
    <w:uiPriority w:val="1"/>
    <w:qFormat/>
    <w:pPr>
      <w:jc w:val="center"/>
    </w:pPr>
    <w:rPr>
      <w:rFonts w:eastAsia="微软雅黑"/>
      <w:b/>
      <w:sz w:val="36"/>
      <w:szCs w:val="22"/>
    </w:rPr>
  </w:style>
  <w:style w:type="character" w:customStyle="1" w:styleId="a2">
    <w:name w:val="无间隔 字符"/>
    <w:link w:val="NoSpacing"/>
    <w:uiPriority w:val="1"/>
    <w:qFormat/>
    <w:rPr>
      <w:rFonts w:eastAsia="微软雅黑"/>
      <w:b/>
      <w:kern w:val="2"/>
      <w:sz w:val="36"/>
      <w:szCs w:val="22"/>
    </w:rPr>
  </w:style>
  <w:style w:type="character" w:customStyle="1" w:styleId="a3">
    <w:name w:val="日期 字符"/>
    <w:basedOn w:val="DefaultParagraphFont"/>
    <w:link w:val="Date"/>
    <w:uiPriority w:val="99"/>
    <w:semiHidden/>
    <w:qFormat/>
    <w:rPr>
      <w:kern w:val="2"/>
      <w:sz w:val="24"/>
      <w:szCs w:val="24"/>
    </w:rPr>
  </w:style>
  <w:style w:type="paragraph" w:customStyle="1" w:styleId="TOC10">
    <w:name w:val="TOC 标题1"/>
    <w:basedOn w:val="Heading1"/>
    <w:next w:val="Normal"/>
    <w:uiPriority w:val="39"/>
    <w:unhideWhenUsed/>
    <w:qFormat/>
    <w:pPr>
      <w:widowControl/>
      <w:numPr>
        <w:numId w:val="0"/>
      </w:numPr>
      <w:spacing w:after="0" w:line="259" w:lineRule="auto"/>
      <w:jc w:val="left"/>
      <w:outlineLvl w:val="9"/>
    </w:pPr>
    <w:rPr>
      <w:rFonts w:asciiTheme="majorHAnsi" w:eastAsiaTheme="majorEastAsia" w:hAnsiTheme="majorHAnsi" w:cstheme="majorBidi"/>
      <w:b w:val="0"/>
      <w:bCs w:val="0"/>
      <w:color w:val="2E75B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DataSourc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6687E-D20E-4D91-A9B3-9C6659F855C9}">
  <ds:schemaRefs/>
</ds:datastoreItem>
</file>

<file path=customXml/itemProps2.xml><?xml version="1.0" encoding="utf-8"?>
<ds:datastoreItem xmlns:ds="http://schemas.openxmlformats.org/officeDocument/2006/customXml" ds:itemID="{65B9A887-6C64-4977-B8B2-7E938AF54ED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3797</Words>
  <Characters>4231</Characters>
  <Application>Microsoft Office Word</Application>
  <DocSecurity>0</DocSecurity>
  <Lines>26</Lines>
  <Paragraphs>7</Paragraphs>
  <ScaleCrop>false</ScaleCrop>
  <Company>CHINA</Company>
  <LinksUpToDate>false</LinksUpToDate>
  <CharactersWithSpaces>4245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杨柳依依</cp:lastModifiedBy>
  <cp:revision>89</cp:revision>
  <dcterms:created xsi:type="dcterms:W3CDTF">2023-01-06T09:15:00Z</dcterms:created>
  <dcterms:modified xsi:type="dcterms:W3CDTF">2025-11-12T09:29:57Z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EF9C04DC9E52487C8390FE1D3010A9A3_12</vt:lpwstr>
  </property>
  <property fmtid="{D5CDD505-2E9C-101B-9397-08002B2CF9AE}" pid="3" name="KSOProductBuildVer">
    <vt:lpwstr>2052-12.1.0.23125</vt:lpwstr>
  </property>
  <property fmtid="{D5CDD505-2E9C-101B-9397-08002B2CF9AE}" pid="4" name="KSOTemplateDocerSaveRecord">
    <vt:lpwstr>eyJoZGlkIjoiZjZmMWI0MmNkYTBjZmYwNGM5MjIxOGI1MDViNzlkMjAiLCJ1c2VySWQiOiIzMTUyMjYxNDMifQ==</vt:lpwstr>
  </property>
  <property fmtid="{D5CDD505-2E9C-101B-9397-08002B2CF9AE}" pid="5" name="UFIDA_U9App_DataSourceXMLPart">
    <vt:lpwstr>{6DC6687E-D20E-4D91-A9B3-9C6659F855C9}</vt:lpwstr>
  </property>
</Properties>
</file>