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spacing w:before="78" w:line="219" w:lineRule="auto"/>
        <w:ind w:left="25"/>
        <w:rPr>
          <w:rFonts w:ascii="宋体" w:eastAsia="宋体" w:hAnsi="宋体" w:cs="宋体" w:hint="default"/>
          <w:sz w:val="24"/>
          <w:szCs w:val="24"/>
          <w:lang w:val="en-US" w:eastAsia="zh-CN"/>
        </w:rPr>
      </w:pPr>
      <w:r>
        <w:rPr>
          <w:rFonts w:ascii="宋体" w:eastAsia="宋体" w:hAnsi="宋体" w:cs="宋体"/>
          <w:b/>
          <w:bCs/>
          <w:spacing w:val="-3"/>
          <w:sz w:val="24"/>
          <w:szCs w:val="24"/>
        </w:rPr>
        <w:t>文件编号：ITSS-</w:t>
      </w:r>
      <w:r>
        <w:rPr>
          <w:rFonts w:ascii="宋体" w:eastAsia="宋体" w:hAnsi="宋体" w:cs="宋体" w:hint="eastAsia"/>
          <w:b/>
          <w:bCs/>
          <w:spacing w:val="-3"/>
          <w:sz w:val="24"/>
          <w:szCs w:val="24"/>
          <w:lang w:val="en-US" w:eastAsia="zh-CN"/>
        </w:rPr>
        <w:t>10</w:t>
      </w:r>
      <w:r>
        <w:rPr>
          <w:rFonts w:ascii="宋体" w:eastAsia="宋体" w:hAnsi="宋体" w:cs="宋体"/>
          <w:b/>
          <w:bCs/>
          <w:spacing w:val="-3"/>
          <w:sz w:val="24"/>
          <w:szCs w:val="24"/>
        </w:rPr>
        <w:t>-01</w:t>
      </w:r>
      <w:r>
        <w:rPr>
          <w:rFonts w:ascii="宋体" w:eastAsia="宋体" w:hAnsi="宋体" w:cs="宋体" w:hint="eastAsia"/>
          <w:b/>
          <w:bCs/>
          <w:spacing w:val="-3"/>
          <w:sz w:val="24"/>
          <w:szCs w:val="24"/>
          <w:lang w:val="en-US" w:eastAsia="zh-CN"/>
        </w:rPr>
        <w:t>-01</w:t>
      </w:r>
    </w:p>
    <w:p>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eastAsia="宋体" w:hAnsi="宋体" w:cs="宋体"/>
          <w:sz w:val="24"/>
          <w:szCs w:val="24"/>
        </w:rPr>
      </w:pPr>
      <w:r>
        <w:rPr>
          <w:rFonts w:ascii="宋体" w:eastAsia="宋体" w:hAnsi="宋体" w:cs="宋体"/>
          <w:b/>
          <w:bCs/>
          <w:spacing w:val="240"/>
          <w:kern w:val="0"/>
          <w:sz w:val="24"/>
          <w:szCs w:val="24"/>
        </w:rPr>
        <w:t>版</w:t>
      </w:r>
      <w:r>
        <w:rPr>
          <w:rFonts w:ascii="宋体" w:eastAsia="宋体" w:hAnsi="宋体" w:cs="宋体"/>
          <w:b/>
          <w:bCs/>
          <w:spacing w:val="0"/>
          <w:kern w:val="0"/>
          <w:sz w:val="24"/>
          <w:szCs w:val="24"/>
        </w:rPr>
        <w:t>本</w:t>
      </w:r>
      <w:r>
        <w:rPr>
          <w:rFonts w:ascii="宋体" w:eastAsia="宋体" w:hAnsi="宋体" w:cs="宋体"/>
          <w:b/>
          <w:bCs/>
          <w:spacing w:val="-5"/>
          <w:sz w:val="24"/>
          <w:szCs w:val="24"/>
        </w:rPr>
        <w:t>：V1.0</w:t>
      </w:r>
    </w:p>
    <w:p>
      <w:pPr>
        <w:pStyle w:val="a"/>
        <w:bidi w:val="0"/>
      </w:pPr>
      <w:bookmarkStart w:id="0" w:name="_Toc20834"/>
      <w:r>
        <w:rPr>
          <w:rFonts w:hint="eastAsia"/>
          <w:lang w:val="en-US" w:eastAsia="zh-CN"/>
        </w:rPr>
        <w:t>青岛瑞源工程集团有限公司</w:t>
      </w:r>
      <w:bookmarkEnd w:id="0"/>
    </w:p>
    <w:p>
      <w:pPr>
        <w:pStyle w:val="a0"/>
        <w:bidi w:val="0"/>
        <w:rPr>
          <w:rFonts w:hint="default"/>
          <w:lang w:val="en-US"/>
        </w:rPr>
      </w:pPr>
      <w:bookmarkStart w:id="1" w:name="_Toc797"/>
      <w:r>
        <w:rPr>
          <w:rFonts w:hint="eastAsia"/>
          <w:lang w:val="en-US" w:eastAsia="zh-CN"/>
        </w:rPr>
        <w:t>组织级应急管理制度</w:t>
      </w:r>
      <w:bookmarkEnd w:id="1"/>
    </w:p>
    <w:tbl>
      <w:tblPr>
        <w:tblStyle w:val="TableGrid"/>
        <w:tblW w:w="0" w:type="auto"/>
        <w:tblInd w:w="2443" w:type="dxa"/>
        <w:tblBorders>
          <w:top w:val="nil"/>
          <w:left w:val="nil"/>
          <w:bottom w:val="nil"/>
          <w:right w:val="nil"/>
          <w:insideH w:val="nil"/>
          <w:insideV w:val="nil"/>
        </w:tblBorders>
        <w:tblCellMar>
          <w:top w:w="0" w:type="dxa"/>
          <w:left w:w="108" w:type="dxa"/>
          <w:bottom w:w="0" w:type="dxa"/>
          <w:right w:w="108" w:type="dxa"/>
        </w:tblCellMar>
      </w:tblPr>
      <w:tblGrid>
        <w:gridCol w:w="1818"/>
        <w:gridCol w:w="4261"/>
      </w:tblGrid>
      <w:tr>
        <w:tblPrEx>
          <w:tblW w:w="0" w:type="auto"/>
          <w:tblInd w:w="2443" w:type="dxa"/>
          <w:tblBorders>
            <w:top w:val="nil"/>
            <w:left w:val="nil"/>
            <w:bottom w:val="nil"/>
            <w:right w:val="nil"/>
            <w:insideH w:val="nil"/>
            <w:insideV w:val="nil"/>
          </w:tblBorders>
          <w:tblCellMar>
            <w:top w:w="0" w:type="dxa"/>
            <w:left w:w="108" w:type="dxa"/>
            <w:bottom w:w="0" w:type="dxa"/>
            <w:right w:w="108" w:type="dxa"/>
          </w:tblCellMar>
        </w:tblPrEx>
        <w:trPr>
          <w:trHeight w:val="810"/>
        </w:trPr>
        <w:tc>
          <w:tcPr>
            <w:tcW w:w="1818" w:type="dxa"/>
          </w:tcPr>
          <w:p>
            <w:pPr>
              <w:widowControl w:val="0"/>
              <w:rPr>
                <w:rFonts w:hint="default"/>
                <w:vertAlign w:val="baseline"/>
                <w:lang w:val="en-US" w:eastAsia="zh-CN"/>
              </w:rPr>
            </w:pPr>
            <w:r>
              <w:rPr>
                <w:rFonts w:hint="eastAsia"/>
                <w:vertAlign w:val="baseline"/>
                <w:lang w:val="en-US" w:eastAsia="zh-CN"/>
              </w:rPr>
              <w:t>编制人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张秀才</w:t>
            </w:r>
          </w:p>
        </w:tc>
        <w:tc>
          <w:tcPr>
            <w:tcW w:w="4261" w:type="dxa"/>
          </w:tcPr>
          <w:p>
            <w:pPr>
              <w:widowControl w:val="0"/>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tblInd w:w="2443" w:type="dxa"/>
          <w:tblCellMar>
            <w:top w:w="0" w:type="dxa"/>
            <w:left w:w="108" w:type="dxa"/>
            <w:bottom w:w="0" w:type="dxa"/>
            <w:right w:w="108" w:type="dxa"/>
          </w:tblCellMar>
        </w:tblPrEx>
        <w:trPr>
          <w:trHeight w:val="810"/>
        </w:trPr>
        <w:tc>
          <w:tcPr>
            <w:tcW w:w="1818" w:type="dxa"/>
            <w:shd w:val="clear" w:color="auto" w:fill="auto"/>
          </w:tcPr>
          <w:p>
            <w:pPr>
              <w:widowControl w:val="0"/>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审核人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宋振</w:t>
            </w:r>
          </w:p>
        </w:tc>
        <w:tc>
          <w:tcPr>
            <w:tcW w:w="4261" w:type="dxa"/>
            <w:shd w:val="clear" w:color="auto" w:fill="auto"/>
          </w:tcPr>
          <w:p>
            <w:pPr>
              <w:widowControl w:val="0"/>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tblInd w:w="2443" w:type="dxa"/>
          <w:tblCellMar>
            <w:top w:w="0" w:type="dxa"/>
            <w:left w:w="108" w:type="dxa"/>
            <w:bottom w:w="0" w:type="dxa"/>
            <w:right w:w="108" w:type="dxa"/>
          </w:tblCellMar>
        </w:tblPrEx>
        <w:trPr>
          <w:trHeight w:val="635"/>
        </w:trPr>
        <w:tc>
          <w:tcPr>
            <w:tcW w:w="1818" w:type="dxa"/>
          </w:tcPr>
          <w:p>
            <w:pPr>
              <w:widowControl w:val="0"/>
              <w:rPr>
                <w:rFonts w:hint="eastAsia"/>
                <w:vertAlign w:val="baseline"/>
                <w:lang w:val="en-US" w:eastAsia="zh-CN"/>
              </w:rPr>
            </w:pPr>
            <w:r>
              <w:rPr>
                <w:rFonts w:hint="eastAsia"/>
                <w:vertAlign w:val="baseline"/>
                <w:lang w:val="en-US" w:eastAsia="zh-CN"/>
              </w:rPr>
              <w:t>批准人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于瑞建</w:t>
            </w:r>
          </w:p>
        </w:tc>
        <w:tc>
          <w:tcPr>
            <w:tcW w:w="4261" w:type="dxa"/>
          </w:tcPr>
          <w:p>
            <w:pPr>
              <w:widowControl w:val="0"/>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r>
        <w:br w:type="page"/>
      </w:r>
    </w:p>
    <w:p>
      <w:pPr>
        <w:spacing w:before="153" w:line="225" w:lineRule="auto"/>
        <w:ind w:left="3634"/>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555"/>
        <w:gridCol w:w="919"/>
        <w:gridCol w:w="2289"/>
        <w:gridCol w:w="1148"/>
        <w:gridCol w:w="1150"/>
        <w:gridCol w:w="1240"/>
      </w:tblGrid>
      <w:tr>
        <w:tblPrEx>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trPr>
        <w:tc>
          <w:tcPr>
            <w:tcW w:w="1555" w:type="dxa"/>
          </w:tcPr>
          <w:p>
            <w:pPr>
              <w:spacing w:before="176" w:line="228" w:lineRule="auto"/>
              <w:ind w:left="607"/>
              <w:rPr>
                <w:rFonts w:ascii="宋体" w:eastAsia="宋体" w:hAnsi="宋体" w:cs="宋体"/>
                <w:sz w:val="20"/>
                <w:szCs w:val="20"/>
              </w:rPr>
            </w:pPr>
            <w:r>
              <w:rPr>
                <w:rFonts w:ascii="宋体" w:eastAsia="宋体" w:hAnsi="宋体" w:cs="宋体"/>
                <w:spacing w:val="-14"/>
                <w:sz w:val="20"/>
                <w:szCs w:val="20"/>
              </w:rPr>
              <w:t>日期</w:t>
            </w:r>
          </w:p>
        </w:tc>
        <w:tc>
          <w:tcPr>
            <w:tcW w:w="919" w:type="dxa"/>
          </w:tcPr>
          <w:p>
            <w:pPr>
              <w:spacing w:before="175" w:line="227" w:lineRule="auto"/>
              <w:ind w:left="253"/>
              <w:rPr>
                <w:rFonts w:ascii="宋体" w:eastAsia="宋体" w:hAnsi="宋体" w:cs="宋体"/>
                <w:sz w:val="20"/>
                <w:szCs w:val="20"/>
              </w:rPr>
            </w:pPr>
            <w:r>
              <w:rPr>
                <w:rFonts w:ascii="宋体" w:eastAsia="宋体" w:hAnsi="宋体" w:cs="宋体"/>
                <w:spacing w:val="4"/>
                <w:sz w:val="20"/>
                <w:szCs w:val="20"/>
              </w:rPr>
              <w:t>版本</w:t>
            </w:r>
          </w:p>
        </w:tc>
        <w:tc>
          <w:tcPr>
            <w:tcW w:w="2289" w:type="dxa"/>
          </w:tcPr>
          <w:p>
            <w:pPr>
              <w:spacing w:before="175" w:line="228" w:lineRule="auto"/>
              <w:ind w:left="730"/>
              <w:rPr>
                <w:rFonts w:ascii="宋体" w:eastAsia="宋体" w:hAnsi="宋体" w:cs="宋体"/>
                <w:sz w:val="20"/>
                <w:szCs w:val="20"/>
              </w:rPr>
            </w:pPr>
            <w:r>
              <w:rPr>
                <w:rFonts w:ascii="宋体" w:eastAsia="宋体" w:hAnsi="宋体" w:cs="宋体"/>
                <w:spacing w:val="7"/>
                <w:sz w:val="20"/>
                <w:szCs w:val="20"/>
              </w:rPr>
              <w:t>变更说明</w:t>
            </w:r>
          </w:p>
        </w:tc>
        <w:tc>
          <w:tcPr>
            <w:tcW w:w="1148" w:type="dxa"/>
          </w:tcPr>
          <w:p>
            <w:pPr>
              <w:spacing w:before="175" w:line="228" w:lineRule="auto"/>
              <w:ind w:left="310"/>
              <w:rPr>
                <w:rFonts w:ascii="宋体" w:eastAsia="宋体" w:hAnsi="宋体" w:cs="宋体"/>
                <w:sz w:val="20"/>
                <w:szCs w:val="20"/>
              </w:rPr>
            </w:pPr>
            <w:r>
              <w:rPr>
                <w:rFonts w:ascii="宋体" w:eastAsia="宋体" w:hAnsi="宋体" w:cs="宋体"/>
                <w:spacing w:val="6"/>
                <w:sz w:val="20"/>
                <w:szCs w:val="20"/>
              </w:rPr>
              <w:t>编写人</w:t>
            </w:r>
          </w:p>
        </w:tc>
        <w:tc>
          <w:tcPr>
            <w:tcW w:w="1150" w:type="dxa"/>
          </w:tcPr>
          <w:p>
            <w:pPr>
              <w:spacing w:before="175" w:line="228" w:lineRule="auto"/>
              <w:ind w:left="310"/>
              <w:rPr>
                <w:rFonts w:ascii="宋体" w:eastAsia="宋体" w:hAnsi="宋体" w:cs="宋体" w:hint="eastAsia"/>
                <w:spacing w:val="6"/>
                <w:sz w:val="20"/>
                <w:szCs w:val="20"/>
                <w:lang w:val="en-US" w:eastAsia="zh-CN"/>
              </w:rPr>
            </w:pPr>
            <w:r>
              <w:rPr>
                <w:rFonts w:ascii="宋体" w:eastAsia="宋体" w:hAnsi="宋体" w:cs="宋体" w:hint="eastAsia"/>
                <w:spacing w:val="6"/>
                <w:sz w:val="20"/>
                <w:szCs w:val="20"/>
                <w:lang w:val="en-US" w:eastAsia="zh-CN"/>
              </w:rPr>
              <w:t>审核人</w:t>
            </w:r>
          </w:p>
        </w:tc>
        <w:tc>
          <w:tcPr>
            <w:tcW w:w="1240" w:type="dxa"/>
          </w:tcPr>
          <w:p>
            <w:pPr>
              <w:spacing w:before="176" w:line="229" w:lineRule="auto"/>
              <w:ind w:left="311"/>
              <w:rPr>
                <w:rFonts w:ascii="宋体" w:eastAsia="宋体" w:hAnsi="宋体" w:cs="宋体"/>
                <w:sz w:val="20"/>
                <w:szCs w:val="20"/>
              </w:rPr>
            </w:pPr>
            <w:r>
              <w:rPr>
                <w:rFonts w:ascii="宋体" w:eastAsia="宋体" w:hAnsi="宋体" w:cs="宋体"/>
                <w:spacing w:val="7"/>
                <w:sz w:val="20"/>
                <w:szCs w:val="20"/>
              </w:rPr>
              <w:t>批准人</w:t>
            </w:r>
          </w:p>
        </w:tc>
      </w:tr>
      <w:tr>
        <w:tblPrEx>
          <w:tblW w:w="8301" w:type="dxa"/>
          <w:tblInd w:w="2" w:type="dxa"/>
          <w:tblLayout w:type="fixed"/>
          <w:tblCellMar>
            <w:top w:w="0" w:type="dxa"/>
            <w:left w:w="0" w:type="dxa"/>
            <w:bottom w:w="0" w:type="dxa"/>
            <w:right w:w="0" w:type="dxa"/>
          </w:tblCellMar>
        </w:tblPrEx>
        <w:trPr>
          <w:trHeight w:val="556"/>
        </w:trPr>
        <w:tc>
          <w:tcPr>
            <w:tcW w:w="1555" w:type="dxa"/>
          </w:tcPr>
          <w:p>
            <w:pPr>
              <w:spacing w:before="173" w:line="267" w:lineRule="exact"/>
              <w:ind w:left="260"/>
              <w:rPr>
                <w:rFonts w:ascii="宋体" w:eastAsia="宋体" w:hAnsi="宋体" w:cs="宋体"/>
                <w:sz w:val="20"/>
                <w:szCs w:val="20"/>
              </w:rPr>
            </w:pPr>
            <w:r>
              <w:rPr>
                <w:rFonts w:ascii="宋体" w:eastAsia="宋体" w:hAnsi="宋体" w:cs="宋体"/>
                <w:spacing w:val="3"/>
                <w:position w:val="1"/>
                <w:sz w:val="20"/>
                <w:szCs w:val="20"/>
              </w:rPr>
              <w:t>2025.01.10</w:t>
            </w:r>
          </w:p>
        </w:tc>
        <w:tc>
          <w:tcPr>
            <w:tcW w:w="919" w:type="dxa"/>
          </w:tcPr>
          <w:p>
            <w:pPr>
              <w:spacing w:before="173" w:line="267" w:lineRule="exact"/>
              <w:ind w:left="248"/>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spacing w:before="172" w:line="228" w:lineRule="auto"/>
              <w:ind w:left="114"/>
              <w:jc w:val="center"/>
              <w:rPr>
                <w:rFonts w:ascii="宋体" w:eastAsia="宋体" w:hAnsi="宋体" w:cs="宋体"/>
                <w:sz w:val="20"/>
                <w:szCs w:val="20"/>
              </w:rPr>
            </w:pPr>
            <w:r>
              <w:rPr>
                <w:rFonts w:ascii="宋体" w:eastAsia="宋体" w:hAnsi="宋体" w:cs="宋体"/>
                <w:spacing w:val="7"/>
                <w:sz w:val="20"/>
                <w:szCs w:val="20"/>
              </w:rPr>
              <w:t>新建文档</w:t>
            </w:r>
          </w:p>
        </w:tc>
        <w:tc>
          <w:tcPr>
            <w:tcW w:w="1148" w:type="dxa"/>
          </w:tcPr>
          <w:p>
            <w:pPr>
              <w:spacing w:before="172" w:line="228" w:lineRule="auto"/>
              <w:ind w:left="313"/>
              <w:rPr>
                <w:rFonts w:ascii="宋体" w:eastAsia="宋体" w:hAnsi="宋体" w:cs="宋体" w:hint="eastAsia"/>
                <w:sz w:val="20"/>
                <w:szCs w:val="20"/>
                <w:lang w:val="en-US" w:eastAsia="zh-CN"/>
              </w:rPr>
            </w:pPr>
            <w:r>
              <w:rPr>
                <w:rFonts w:ascii="宋体" w:eastAsia="宋体" w:hAnsi="宋体" w:cs="宋体" w:hint="eastAsia"/>
                <w:sz w:val="20"/>
                <w:szCs w:val="20"/>
                <w:lang w:val="en-US" w:eastAsia="zh-CN"/>
              </w:rPr>
              <w:t>张秀才</w:t>
            </w:r>
          </w:p>
        </w:tc>
        <w:tc>
          <w:tcPr>
            <w:tcW w:w="1150" w:type="dxa"/>
          </w:tcPr>
          <w:p>
            <w:pPr>
              <w:spacing w:before="172" w:line="228" w:lineRule="auto"/>
              <w:ind w:left="313"/>
              <w:rPr>
                <w:rFonts w:ascii="宋体" w:eastAsia="宋体" w:hAnsi="宋体" w:cs="宋体" w:hint="eastAsia"/>
                <w:spacing w:val="5"/>
                <w:sz w:val="20"/>
                <w:szCs w:val="20"/>
              </w:rPr>
            </w:pPr>
            <w:r>
              <w:rPr>
                <w:rFonts w:ascii="宋体" w:eastAsia="宋体" w:hAnsi="宋体" w:cs="宋体" w:hint="eastAsia"/>
                <w:spacing w:val="5"/>
                <w:sz w:val="20"/>
                <w:szCs w:val="20"/>
                <w:lang w:val="en-US" w:eastAsia="zh-CN"/>
              </w:rPr>
              <w:t>宋振</w:t>
            </w:r>
          </w:p>
        </w:tc>
        <w:tc>
          <w:tcPr>
            <w:tcW w:w="1240" w:type="dxa"/>
          </w:tcPr>
          <w:p>
            <w:pPr>
              <w:spacing w:before="173" w:line="229" w:lineRule="auto"/>
              <w:ind w:left="314"/>
              <w:rPr>
                <w:rFonts w:ascii="宋体" w:eastAsia="宋体" w:hAnsi="宋体" w:cs="宋体"/>
                <w:sz w:val="20"/>
                <w:szCs w:val="20"/>
              </w:rPr>
            </w:pPr>
            <w:r>
              <w:rPr>
                <w:rFonts w:ascii="宋体" w:eastAsia="宋体" w:hAnsi="宋体" w:cs="宋体" w:hint="eastAsia"/>
                <w:spacing w:val="6"/>
                <w:sz w:val="20"/>
                <w:szCs w:val="20"/>
                <w:lang w:val="en-US" w:eastAsia="zh-CN"/>
              </w:rPr>
              <w:t>于瑞建</w:t>
            </w: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spacing w:before="172" w:line="228" w:lineRule="auto"/>
              <w:ind w:left="313"/>
            </w:pPr>
          </w:p>
        </w:tc>
        <w:tc>
          <w:tcPr>
            <w:tcW w:w="1150" w:type="dxa"/>
          </w:tcPr>
          <w:p>
            <w:pPr>
              <w:spacing w:before="172" w:line="228" w:lineRule="auto"/>
              <w:ind w:left="313"/>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spacing w:before="173" w:line="229" w:lineRule="auto"/>
              <w:ind w:left="314"/>
            </w:pPr>
          </w:p>
        </w:tc>
        <w:tc>
          <w:tcPr>
            <w:tcW w:w="1150" w:type="dxa"/>
          </w:tcPr>
          <w:p>
            <w:pPr>
              <w:spacing w:before="173" w:line="229" w:lineRule="auto"/>
              <w:ind w:left="314"/>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57"/>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pStyle w:val="TableText"/>
            </w:pPr>
          </w:p>
        </w:tc>
        <w:tc>
          <w:tcPr>
            <w:tcW w:w="1150" w:type="dxa"/>
          </w:tcPr>
          <w:p>
            <w:pPr>
              <w:pStyle w:val="TableText"/>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pStyle w:val="TableText"/>
            </w:pPr>
          </w:p>
        </w:tc>
        <w:tc>
          <w:tcPr>
            <w:tcW w:w="1150" w:type="dxa"/>
          </w:tcPr>
          <w:p>
            <w:pPr>
              <w:pStyle w:val="TableText"/>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61"/>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pStyle w:val="TableText"/>
            </w:pPr>
          </w:p>
        </w:tc>
        <w:tc>
          <w:tcPr>
            <w:tcW w:w="1150" w:type="dxa"/>
          </w:tcPr>
          <w:p>
            <w:pPr>
              <w:pStyle w:val="TableText"/>
            </w:pPr>
          </w:p>
        </w:tc>
        <w:tc>
          <w:tcPr>
            <w:tcW w:w="1240" w:type="dxa"/>
          </w:tcPr>
          <w:p>
            <w:pPr>
              <w:pStyle w:val="TableText"/>
            </w:pPr>
          </w:p>
        </w:tc>
      </w:tr>
    </w:tbl>
    <w:p>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spacing w:before="0" w:beforeLines="0" w:after="0" w:afterLines="0" w:line="240" w:lineRule="auto"/>
            <w:ind w:left="0" w:right="0" w:firstLine="0" w:leftChars="0" w:rightChars="0" w:firstLineChars="0"/>
            <w:jc w:val="center"/>
            <w:rPr>
              <w:rFonts w:ascii="宋体" w:eastAsia="宋体" w:hAnsi="宋体" w:cs="宋体" w:hint="eastAsia"/>
              <w:sz w:val="24"/>
              <w:szCs w:val="24"/>
            </w:rPr>
          </w:pPr>
          <w:r>
            <w:rPr>
              <w:rFonts w:ascii="宋体" w:eastAsia="宋体" w:hAnsi="宋体" w:cs="宋体" w:hint="eastAsia"/>
              <w:sz w:val="24"/>
              <w:szCs w:val="24"/>
            </w:rPr>
            <w:t>目录</w:t>
          </w:r>
        </w:p>
        <w:p>
          <w:pPr>
            <w:spacing w:before="0" w:beforeLines="0" w:after="0" w:afterLines="0" w:line="240" w:lineRule="auto"/>
            <w:ind w:left="0" w:right="0" w:firstLine="0" w:leftChars="0" w:rightChars="0" w:firstLineChars="0"/>
            <w:jc w:val="center"/>
            <w:rPr>
              <w:rFonts w:ascii="宋体" w:eastAsia="宋体" w:hAnsi="宋体" w:cs="宋体" w:hint="eastAsia"/>
              <w:sz w:val="24"/>
              <w:szCs w:val="24"/>
            </w:rPr>
          </w:pP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_Toc21034 </w:instrText>
          </w:r>
          <w:r>
            <w:rPr>
              <w:rFonts w:ascii="宋体" w:eastAsia="宋体" w:hAnsi="宋体" w:cs="宋体" w:hint="eastAsia"/>
              <w:szCs w:val="24"/>
            </w:rPr>
            <w:fldChar w:fldCharType="separate"/>
          </w:r>
          <w:r>
            <w:rPr>
              <w:rFonts w:hint="eastAsia"/>
              <w:lang w:val="en-US" w:eastAsia="zh-CN"/>
            </w:rPr>
            <w:t>青岛瑞源工程集团有限公司</w:t>
          </w:r>
          <w:r>
            <w:tab/>
          </w:r>
          <w:r>
            <w:fldChar w:fldCharType="begin"/>
          </w:r>
          <w:r>
            <w:instrText xml:space="preserve"> PAGEREF _Toc21034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_Toc797 </w:instrText>
          </w:r>
          <w:r>
            <w:rPr>
              <w:rFonts w:ascii="宋体" w:eastAsia="宋体" w:hAnsi="宋体" w:cs="宋体" w:hint="eastAsia"/>
              <w:szCs w:val="24"/>
            </w:rPr>
            <w:fldChar w:fldCharType="separate"/>
          </w:r>
          <w:r>
            <w:rPr>
              <w:rFonts w:hint="eastAsia"/>
              <w:lang w:val="en-US" w:eastAsia="zh-CN"/>
            </w:rPr>
            <w:t>组织级应急管理制度</w:t>
          </w:r>
          <w:r>
            <w:tab/>
          </w:r>
          <w:r>
            <w:fldChar w:fldCharType="begin"/>
          </w:r>
          <w:r>
            <w:instrText xml:space="preserve"> PAGEREF _Toc797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_Toc7543 </w:instrText>
          </w:r>
          <w:r>
            <w:rPr>
              <w:rFonts w:ascii="宋体" w:eastAsia="宋体" w:hAnsi="宋体" w:cs="宋体" w:hint="eastAsia"/>
              <w:szCs w:val="24"/>
            </w:rPr>
            <w:fldChar w:fldCharType="separate"/>
          </w:r>
          <w:r>
            <w:rPr>
              <w:rFonts w:hint="default"/>
            </w:rPr>
            <w:t xml:space="preserve">1. </w:t>
          </w:r>
          <w:r>
            <w:t>目的</w:t>
          </w:r>
          <w:r>
            <w:tab/>
          </w:r>
          <w:r>
            <w:fldChar w:fldCharType="begin"/>
          </w:r>
          <w:r>
            <w:instrText xml:space="preserve"> PAGEREF _Toc7543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_Toc13238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_Toc13238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_Toc9543 </w:instrText>
          </w:r>
          <w:r>
            <w:rPr>
              <w:rFonts w:ascii="宋体" w:eastAsia="宋体" w:hAnsi="宋体" w:cs="宋体" w:hint="eastAsia"/>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_Toc9543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_Toc18202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_Toc18202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_Toc958 </w:instrText>
          </w:r>
          <w:r>
            <w:rPr>
              <w:rFonts w:ascii="宋体" w:eastAsia="宋体" w:hAnsi="宋体" w:cs="宋体" w:hint="eastAsia"/>
              <w:szCs w:val="24"/>
            </w:rPr>
            <w:fldChar w:fldCharType="separate"/>
          </w:r>
          <w:r>
            <w:rPr>
              <w:rFonts w:hint="default"/>
              <w:lang w:val="en-US" w:eastAsia="zh-CN"/>
            </w:rPr>
            <w:t xml:space="preserve">4.1. </w:t>
          </w:r>
          <w:r>
            <w:rPr>
              <w:rFonts w:hint="eastAsia"/>
              <w:lang w:val="en-US" w:eastAsia="zh-CN"/>
            </w:rPr>
            <w:t>应急管理办公室</w:t>
          </w:r>
          <w:r>
            <w:tab/>
          </w:r>
          <w:r>
            <w:fldChar w:fldCharType="begin"/>
          </w:r>
          <w:r>
            <w:instrText xml:space="preserve"> PAGEREF _Toc958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_Toc5733 </w:instrText>
          </w:r>
          <w:r>
            <w:rPr>
              <w:rFonts w:ascii="宋体" w:eastAsia="宋体" w:hAnsi="宋体" w:cs="宋体" w:hint="eastAsia"/>
              <w:szCs w:val="24"/>
            </w:rPr>
            <w:fldChar w:fldCharType="separate"/>
          </w:r>
          <w:r>
            <w:rPr>
              <w:rFonts w:hint="default"/>
              <w:lang w:val="en-US" w:eastAsia="zh-CN"/>
            </w:rPr>
            <w:t xml:space="preserve">4.2. </w:t>
          </w:r>
          <w:r>
            <w:rPr>
              <w:rFonts w:hint="eastAsia"/>
              <w:lang w:val="en-US" w:eastAsia="zh-CN"/>
            </w:rPr>
            <w:t>应急执行小组</w:t>
          </w:r>
          <w:r>
            <w:tab/>
          </w:r>
          <w:r>
            <w:fldChar w:fldCharType="begin"/>
          </w:r>
          <w:r>
            <w:instrText xml:space="preserve"> PAGEREF _Toc5733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_Toc14311 </w:instrText>
          </w:r>
          <w:r>
            <w:rPr>
              <w:rFonts w:ascii="宋体" w:eastAsia="宋体" w:hAnsi="宋体" w:cs="宋体" w:hint="eastAsia"/>
              <w:szCs w:val="24"/>
            </w:rPr>
            <w:fldChar w:fldCharType="separate"/>
          </w:r>
          <w:r>
            <w:rPr>
              <w:rFonts w:hint="default"/>
              <w:lang w:val="en-US" w:eastAsia="zh-CN"/>
            </w:rPr>
            <w:t xml:space="preserve">4.3. </w:t>
          </w:r>
          <w:r>
            <w:rPr>
              <w:rFonts w:hint="eastAsia"/>
              <w:lang w:val="en-US" w:eastAsia="zh-CN"/>
            </w:rPr>
            <w:t>技术支持小组</w:t>
          </w:r>
          <w:r>
            <w:tab/>
          </w:r>
          <w:r>
            <w:fldChar w:fldCharType="begin"/>
          </w:r>
          <w:r>
            <w:instrText xml:space="preserve"> PAGEREF _Toc14311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_Toc28012 </w:instrText>
          </w:r>
          <w:r>
            <w:rPr>
              <w:rFonts w:ascii="宋体" w:eastAsia="宋体" w:hAnsi="宋体" w:cs="宋体" w:hint="eastAsia"/>
              <w:szCs w:val="24"/>
            </w:rPr>
            <w:fldChar w:fldCharType="separate"/>
          </w:r>
          <w:r>
            <w:rPr>
              <w:rFonts w:hint="default"/>
            </w:rPr>
            <w:t xml:space="preserve">4.4. </w:t>
          </w:r>
          <w:r>
            <w:t>后勤保障小组</w:t>
          </w:r>
          <w:r>
            <w:tab/>
          </w:r>
          <w:r>
            <w:fldChar w:fldCharType="begin"/>
          </w:r>
          <w:r>
            <w:instrText xml:space="preserve"> PAGEREF _Toc28012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_Toc19310 </w:instrText>
          </w:r>
          <w:r>
            <w:rPr>
              <w:rFonts w:ascii="宋体" w:eastAsia="宋体" w:hAnsi="宋体" w:cs="宋体" w:hint="eastAsia"/>
              <w:szCs w:val="24"/>
            </w:rPr>
            <w:fldChar w:fldCharType="separate"/>
          </w:r>
          <w:r>
            <w:rPr>
              <w:rFonts w:hint="default"/>
              <w:lang w:val="en-US" w:eastAsia="zh-CN"/>
            </w:rPr>
            <w:t xml:space="preserve">5. </w:t>
          </w:r>
          <w:r>
            <w:rPr>
              <w:rFonts w:hint="eastAsia"/>
              <w:lang w:val="en-US" w:eastAsia="zh-CN"/>
            </w:rPr>
            <w:t>应急管理实施</w:t>
          </w:r>
          <w:r>
            <w:tab/>
          </w:r>
          <w:r>
            <w:fldChar w:fldCharType="begin"/>
          </w:r>
          <w:r>
            <w:instrText xml:space="preserve"> PAGEREF _Toc19310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_Toc4018 </w:instrText>
          </w:r>
          <w:r>
            <w:rPr>
              <w:rFonts w:ascii="宋体" w:eastAsia="宋体" w:hAnsi="宋体" w:cs="宋体" w:hint="eastAsia"/>
              <w:szCs w:val="24"/>
            </w:rPr>
            <w:fldChar w:fldCharType="separate"/>
          </w:r>
          <w:r>
            <w:rPr>
              <w:rFonts w:hint="default"/>
            </w:rPr>
            <w:t xml:space="preserve">5.1. </w:t>
          </w:r>
          <w:r>
            <w:t>突发事件分级</w:t>
          </w:r>
          <w:r>
            <w:tab/>
          </w:r>
          <w:r>
            <w:fldChar w:fldCharType="begin"/>
          </w:r>
          <w:r>
            <w:instrText xml:space="preserve"> PAGEREF _Toc4018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_Toc23101 </w:instrText>
          </w:r>
          <w:r>
            <w:rPr>
              <w:rFonts w:ascii="宋体" w:eastAsia="宋体" w:hAnsi="宋体" w:cs="宋体" w:hint="eastAsia"/>
              <w:szCs w:val="24"/>
            </w:rPr>
            <w:fldChar w:fldCharType="separate"/>
          </w:r>
          <w:r>
            <w:rPr>
              <w:rFonts w:hint="default"/>
            </w:rPr>
            <w:t xml:space="preserve">5.2. </w:t>
          </w:r>
          <w:r>
            <w:t>应急处置流程</w:t>
          </w:r>
          <w:r>
            <w:tab/>
          </w:r>
          <w:r>
            <w:fldChar w:fldCharType="begin"/>
          </w:r>
          <w:r>
            <w:instrText xml:space="preserve"> PAGEREF _Toc23101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_Toc24057 </w:instrText>
          </w:r>
          <w:r>
            <w:rPr>
              <w:rFonts w:ascii="宋体" w:eastAsia="宋体" w:hAnsi="宋体" w:cs="宋体" w:hint="eastAsia"/>
              <w:szCs w:val="24"/>
            </w:rPr>
            <w:fldChar w:fldCharType="separate"/>
          </w:r>
          <w:r>
            <w:rPr>
              <w:rFonts w:hint="default"/>
            </w:rPr>
            <w:t xml:space="preserve">5.3. </w:t>
          </w:r>
          <w:r>
            <w:t>应急准备与保障</w:t>
          </w:r>
          <w:r>
            <w:tab/>
          </w:r>
          <w:r>
            <w:fldChar w:fldCharType="begin"/>
          </w:r>
          <w:r>
            <w:instrText xml:space="preserve"> PAGEREF _Toc24057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_Toc27741 </w:instrText>
          </w:r>
          <w:r>
            <w:rPr>
              <w:rFonts w:ascii="宋体" w:eastAsia="宋体" w:hAnsi="宋体" w:cs="宋体" w:hint="eastAsia"/>
              <w:szCs w:val="24"/>
            </w:rPr>
            <w:fldChar w:fldCharType="separate"/>
          </w:r>
          <w:r>
            <w:rPr>
              <w:rFonts w:hint="default"/>
            </w:rPr>
            <w:t xml:space="preserve">5.4. </w:t>
          </w:r>
          <w:r>
            <w:t>监督与考核</w:t>
          </w:r>
          <w:r>
            <w:tab/>
          </w:r>
          <w:r>
            <w:fldChar w:fldCharType="begin"/>
          </w:r>
          <w:r>
            <w:instrText xml:space="preserve"> PAGEREF _Toc27741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_Toc26968 </w:instrText>
          </w:r>
          <w:r>
            <w:rPr>
              <w:rFonts w:ascii="宋体" w:eastAsia="宋体" w:hAnsi="宋体" w:cs="宋体" w:hint="eastAsia"/>
              <w:szCs w:val="24"/>
            </w:rPr>
            <w:fldChar w:fldCharType="separate"/>
          </w:r>
          <w:r>
            <w:rPr>
              <w:rFonts w:hint="default"/>
              <w:lang w:val="en-US" w:eastAsia="zh-CN"/>
            </w:rPr>
            <w:t xml:space="preserve">5.5. </w:t>
          </w:r>
          <w:r>
            <w:rPr>
              <w:rFonts w:hint="eastAsia"/>
              <w:lang w:val="en-US" w:eastAsia="zh-CN"/>
            </w:rPr>
            <w:t>考核指标</w:t>
          </w:r>
          <w:r>
            <w:tab/>
          </w:r>
          <w:r>
            <w:fldChar w:fldCharType="begin"/>
          </w:r>
          <w:r>
            <w:instrText xml:space="preserve"> PAGEREF _Toc26968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_Toc23331 </w:instrText>
          </w:r>
          <w:r>
            <w:rPr>
              <w:rFonts w:ascii="宋体" w:eastAsia="宋体" w:hAnsi="宋体" w:cs="宋体" w:hint="eastAsia"/>
              <w:szCs w:val="24"/>
            </w:rPr>
            <w:fldChar w:fldCharType="separate"/>
          </w:r>
          <w:r>
            <w:rPr>
              <w:rFonts w:eastAsia="宋体" w:hint="default"/>
              <w:lang w:val="en-US" w:eastAsia="zh-CN"/>
            </w:rPr>
            <w:t xml:space="preserve">6. </w:t>
          </w:r>
          <w:r>
            <w:rPr>
              <w:rFonts w:eastAsia="宋体" w:hint="eastAsia"/>
              <w:lang w:val="en-US" w:eastAsia="zh-CN"/>
            </w:rPr>
            <w:t>附则</w:t>
          </w:r>
          <w:r>
            <w:tab/>
          </w:r>
          <w:r>
            <w:fldChar w:fldCharType="begin"/>
          </w:r>
          <w:r>
            <w:instrText xml:space="preserve"> PAGEREF _Toc23331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_Toc26620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_Toc26620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_Toc1394 </w:instrText>
          </w:r>
          <w:r>
            <w:rPr>
              <w:rFonts w:ascii="宋体" w:eastAsia="宋体" w:hAnsi="宋体" w:cs="宋体" w:hint="eastAsia"/>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_Toc1394 \h </w:instrText>
          </w:r>
          <w:r>
            <w:fldChar w:fldCharType="separate"/>
          </w:r>
          <w:r>
            <w:t>10</w:t>
          </w:r>
          <w:r>
            <w:fldChar w:fldCharType="end"/>
          </w:r>
          <w:r>
            <w:rPr>
              <w:rFonts w:ascii="宋体" w:eastAsia="宋体" w:hAnsi="宋体" w:cs="宋体" w:hint="eastAsia"/>
              <w:szCs w:val="24"/>
            </w:rPr>
            <w:fldChar w:fldCharType="end"/>
          </w:r>
        </w:p>
        <w:p>
          <w:pPr>
            <w:bidi w:val="0"/>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bidi w:val="0"/>
      </w:pPr>
      <w:bookmarkStart w:id="2" w:name="_Toc7543"/>
      <w:r>
        <w:t>目的</w:t>
      </w:r>
      <w:bookmarkEnd w:id="2"/>
    </w:p>
    <w:p>
      <w:pPr>
        <w:pStyle w:val="a1"/>
        <w:bidi w:val="0"/>
      </w:pPr>
      <w:r>
        <w:t>为有效预防和应对运维过程中的突发事件，规范应急处置流程，提高应急响应速度和处置能力，最大限度减少突发事件对系统运行、业务开展造成的影响和损失，保障企业信息系统的稳定、安全、持续运行，特制定本制度。</w:t>
      </w:r>
    </w:p>
    <w:p>
      <w:pPr>
        <w:pStyle w:val="1"/>
        <w:bidi w:val="0"/>
        <w:rPr>
          <w:rFonts w:hint="eastAsia"/>
          <w:lang w:val="en-US" w:eastAsia="zh-CN"/>
        </w:rPr>
      </w:pPr>
      <w:bookmarkStart w:id="3" w:name="_Toc13238"/>
      <w:r>
        <w:rPr>
          <w:rFonts w:hint="eastAsia"/>
          <w:lang w:val="en-US" w:eastAsia="zh-CN"/>
        </w:rPr>
        <w:t>原则</w:t>
      </w:r>
      <w:bookmarkEnd w:id="3"/>
    </w:p>
    <w:p>
      <w:pPr>
        <w:pStyle w:val="a1"/>
        <w:numPr>
          <w:ilvl w:val="0"/>
          <w:numId w:val="2"/>
        </w:numPr>
        <w:bidi w:val="0"/>
        <w:ind w:left="425" w:hanging="425" w:leftChars="0" w:firstLineChars="0"/>
      </w:pPr>
      <w:r>
        <w:t>预防为主，防治结合</w:t>
      </w:r>
    </w:p>
    <w:p>
      <w:pPr>
        <w:pStyle w:val="a1"/>
        <w:bidi w:val="0"/>
      </w:pPr>
      <w:r>
        <w:t>加强日常运维管理和风险评估，提前采取预防措施，减少突发事件的发生；同时做好应急准备，确保突发事件发生时能够迅速响应和处置。</w:t>
      </w:r>
    </w:p>
    <w:p>
      <w:pPr>
        <w:pStyle w:val="a1"/>
        <w:numPr>
          <w:ilvl w:val="0"/>
          <w:numId w:val="2"/>
        </w:numPr>
        <w:bidi w:val="0"/>
        <w:ind w:left="425" w:hanging="425" w:leftChars="0" w:firstLineChars="0"/>
      </w:pPr>
      <w:r>
        <w:t>统一指挥，分级负责</w:t>
      </w:r>
    </w:p>
    <w:p>
      <w:pPr>
        <w:pStyle w:val="a1"/>
        <w:bidi w:val="0"/>
      </w:pPr>
      <w:r>
        <w:t>建立明确的应急指挥体系，明确各层级、各部门及相关人员的职责，在应急指挥机构的统一领导下，分级开展应急处置工作。</w:t>
      </w:r>
    </w:p>
    <w:p>
      <w:pPr>
        <w:pStyle w:val="a1"/>
        <w:numPr>
          <w:ilvl w:val="0"/>
          <w:numId w:val="2"/>
        </w:numPr>
        <w:bidi w:val="0"/>
        <w:ind w:left="425" w:hanging="425" w:leftChars="0" w:firstLineChars="0"/>
      </w:pPr>
      <w:r>
        <w:t>快速响应，果断处置</w:t>
      </w:r>
    </w:p>
    <w:p>
      <w:pPr>
        <w:pStyle w:val="a1"/>
        <w:bidi w:val="0"/>
      </w:pPr>
      <w:r>
        <w:t>突发事件发生后，相关人员应立即响应，按照既定流程果断采取措施，控制事态发展，尽快恢复系统正常运行。</w:t>
      </w:r>
    </w:p>
    <w:p>
      <w:pPr>
        <w:pStyle w:val="a1"/>
        <w:numPr>
          <w:ilvl w:val="0"/>
          <w:numId w:val="2"/>
        </w:numPr>
        <w:bidi w:val="0"/>
        <w:ind w:left="425" w:hanging="425" w:leftChars="0" w:firstLineChars="0"/>
      </w:pPr>
      <w:r>
        <w:t>资源保障，协同作战</w:t>
      </w:r>
    </w:p>
    <w:p>
      <w:pPr>
        <w:pStyle w:val="a1"/>
        <w:bidi w:val="0"/>
        <w:rPr>
          <w:rFonts w:hint="eastAsia"/>
          <w:lang w:val="en-US" w:eastAsia="zh-CN"/>
        </w:rPr>
      </w:pPr>
      <w:r>
        <w:t>合理配置应急资源，包括人员、设备、技术、物资等，确保应急处置过程中资源充足；加强各部门之间的协同配合，形成应急处置合力</w:t>
      </w:r>
    </w:p>
    <w:p>
      <w:pPr>
        <w:pStyle w:val="1"/>
        <w:bidi w:val="0"/>
      </w:pPr>
      <w:bookmarkStart w:id="4" w:name="_Toc9543"/>
      <w:r>
        <w:rPr>
          <w:rFonts w:hint="eastAsia"/>
          <w:lang w:val="en-US" w:eastAsia="zh-CN"/>
        </w:rPr>
        <w:t>适用</w:t>
      </w:r>
      <w:r>
        <w:t>范围</w:t>
      </w:r>
      <w:bookmarkEnd w:id="4"/>
    </w:p>
    <w:p>
      <w:pPr>
        <w:pStyle w:val="a1"/>
        <w:bidi w:val="0"/>
      </w:pPr>
      <w:r>
        <w:t>本制度适用于企业所有信息系统及相关设施在运维过程中发生的突发事件，包括但不限于系统故障、网络中断、数据丢失、安全攻击、硬件损坏等可能影响系统正常运行和业务连续性的事件。</w:t>
      </w:r>
    </w:p>
    <w:p>
      <w:pPr>
        <w:pStyle w:val="1"/>
        <w:bidi w:val="0"/>
        <w:rPr>
          <w:rFonts w:hint="eastAsia"/>
          <w:lang w:val="en-US" w:eastAsia="zh-CN"/>
        </w:rPr>
      </w:pPr>
      <w:bookmarkStart w:id="5" w:name="_Toc18202"/>
      <w:r>
        <w:rPr>
          <w:rFonts w:hint="eastAsia"/>
          <w:lang w:val="en-US" w:eastAsia="zh-CN"/>
        </w:rPr>
        <w:t>岗位职责</w:t>
      </w:r>
      <w:bookmarkEnd w:id="5"/>
    </w:p>
    <w:p>
      <w:pPr>
        <w:pStyle w:val="2"/>
        <w:bidi w:val="0"/>
        <w:rPr>
          <w:rFonts w:hint="eastAsia"/>
          <w:lang w:val="en-US" w:eastAsia="zh-CN"/>
        </w:rPr>
      </w:pPr>
      <w:bookmarkStart w:id="6" w:name="_Toc958"/>
      <w:r>
        <w:rPr>
          <w:rFonts w:hint="eastAsia"/>
          <w:lang w:val="en-US" w:eastAsia="zh-CN"/>
        </w:rPr>
        <w:t>应急管理办公室</w:t>
      </w:r>
      <w:bookmarkEnd w:id="6"/>
      <w:bookmarkStart w:id="7" w:name="_GoBack"/>
      <w:bookmarkEnd w:id="7"/>
    </w:p>
    <w:p>
      <w:pPr>
        <w:pStyle w:val="a1"/>
        <w:rPr>
          <w:rFonts w:ascii="宋体" w:eastAsia="宋体" w:hAnsi="宋体" w:cs="宋体"/>
          <w:spacing w:val="-2"/>
          <w:sz w:val="24"/>
          <w:szCs w:val="24"/>
        </w:rPr>
      </w:pPr>
      <w:r>
        <w:rPr>
          <w:rFonts w:ascii="宋体" w:eastAsia="宋体" w:hAnsi="宋体" w:cs="宋体"/>
          <w:spacing w:val="-4"/>
          <w:sz w:val="24"/>
          <w:szCs w:val="24"/>
        </w:rPr>
        <w:t>由企业高层管理人员、平台运维组负责人、</w:t>
      </w:r>
      <w:r>
        <w:rPr>
          <w:rFonts w:ascii="宋体" w:hAnsi="宋体" w:cs="宋体" w:hint="eastAsia"/>
          <w:spacing w:val="-4"/>
          <w:sz w:val="24"/>
          <w:szCs w:val="24"/>
          <w:lang w:val="en-US" w:eastAsia="zh-CN"/>
        </w:rPr>
        <w:t>研发组负责人组成</w:t>
      </w:r>
      <w:r>
        <w:rPr>
          <w:rFonts w:ascii="宋体" w:eastAsia="宋体" w:hAnsi="宋体" w:cs="宋体"/>
          <w:spacing w:val="-4"/>
          <w:sz w:val="24"/>
          <w:szCs w:val="24"/>
        </w:rPr>
        <w:t>，是应急处</w:t>
      </w:r>
      <w:r>
        <w:rPr>
          <w:rFonts w:ascii="宋体" w:eastAsia="宋体" w:hAnsi="宋体" w:cs="宋体"/>
          <w:spacing w:val="-5"/>
          <w:sz w:val="24"/>
          <w:szCs w:val="24"/>
        </w:rPr>
        <w:t>置的最高</w:t>
      </w:r>
      <w:r>
        <w:rPr>
          <w:rFonts w:ascii="宋体" w:eastAsia="宋体" w:hAnsi="宋体" w:cs="宋体"/>
          <w:spacing w:val="-2"/>
          <w:sz w:val="24"/>
          <w:szCs w:val="24"/>
        </w:rPr>
        <w:t>决策和指挥机构</w:t>
      </w:r>
      <w:r>
        <w:rPr>
          <w:rFonts w:ascii="宋体" w:hAnsi="宋体" w:cs="宋体" w:hint="eastAsia"/>
          <w:spacing w:val="-2"/>
          <w:sz w:val="24"/>
          <w:szCs w:val="24"/>
          <w:lang w:eastAsia="zh-CN"/>
        </w:rPr>
        <w:t>，</w:t>
      </w:r>
      <w:r>
        <w:rPr>
          <w:rFonts w:ascii="宋体" w:eastAsia="宋体" w:hAnsi="宋体" w:cs="宋体"/>
          <w:spacing w:val="-2"/>
          <w:sz w:val="24"/>
          <w:szCs w:val="24"/>
        </w:rPr>
        <w:t>其主要职责包括：</w:t>
      </w:r>
    </w:p>
    <w:p>
      <w:pPr>
        <w:numPr>
          <w:ilvl w:val="0"/>
          <w:numId w:val="3"/>
        </w:numPr>
        <w:spacing w:before="59" w:line="219" w:lineRule="auto"/>
        <w:ind w:left="425" w:hanging="425" w:leftChars="0" w:firstLineChars="0"/>
        <w:rPr>
          <w:rFonts w:ascii="宋体" w:eastAsia="宋体" w:hAnsi="宋体" w:cs="宋体"/>
          <w:sz w:val="24"/>
          <w:szCs w:val="24"/>
        </w:rPr>
      </w:pPr>
      <w:r>
        <w:rPr>
          <w:rFonts w:ascii="宋体" w:eastAsia="宋体" w:hAnsi="宋体" w:cs="宋体"/>
          <w:spacing w:val="-1"/>
          <w:sz w:val="24"/>
          <w:szCs w:val="24"/>
        </w:rPr>
        <w:t>审定应急管理制度、应急预案及相关配套文</w:t>
      </w:r>
      <w:r>
        <w:rPr>
          <w:rFonts w:ascii="宋体" w:eastAsia="宋体" w:hAnsi="宋体" w:cs="宋体"/>
          <w:spacing w:val="-2"/>
          <w:sz w:val="24"/>
          <w:szCs w:val="24"/>
        </w:rPr>
        <w:t>件。</w:t>
      </w:r>
    </w:p>
    <w:p>
      <w:pPr>
        <w:numPr>
          <w:ilvl w:val="0"/>
          <w:numId w:val="3"/>
        </w:numPr>
        <w:spacing w:before="78" w:line="219" w:lineRule="auto"/>
        <w:ind w:left="425" w:hanging="425" w:leftChars="0" w:firstLineChars="0"/>
        <w:rPr>
          <w:rFonts w:ascii="宋体" w:eastAsia="宋体" w:hAnsi="宋体" w:cs="宋体"/>
          <w:sz w:val="24"/>
          <w:szCs w:val="24"/>
        </w:rPr>
      </w:pPr>
      <w:r>
        <w:rPr>
          <w:rFonts w:ascii="宋体" w:eastAsia="宋体" w:hAnsi="宋体" w:cs="宋体"/>
          <w:spacing w:val="-1"/>
          <w:sz w:val="24"/>
          <w:szCs w:val="24"/>
        </w:rPr>
        <w:t>负责应急资源的调配和保障，协调解决应急处置过程中的重大问题。</w:t>
      </w:r>
    </w:p>
    <w:p>
      <w:pPr>
        <w:numPr>
          <w:ilvl w:val="0"/>
          <w:numId w:val="3"/>
        </w:numPr>
        <w:spacing w:before="242" w:line="218" w:lineRule="auto"/>
        <w:ind w:left="425" w:hanging="425" w:leftChars="0" w:firstLineChars="0"/>
        <w:rPr>
          <w:rFonts w:ascii="宋体" w:eastAsia="宋体" w:hAnsi="宋体" w:cs="宋体"/>
          <w:sz w:val="24"/>
          <w:szCs w:val="24"/>
        </w:rPr>
      </w:pPr>
      <w:r>
        <w:rPr>
          <w:rFonts w:ascii="宋体" w:eastAsia="宋体" w:hAnsi="宋体" w:cs="宋体"/>
          <w:spacing w:val="-1"/>
          <w:sz w:val="24"/>
          <w:szCs w:val="24"/>
        </w:rPr>
        <w:t>组织应急处置后的调查评估和总结工作。</w:t>
      </w:r>
    </w:p>
    <w:p>
      <w:pPr>
        <w:pStyle w:val="2"/>
        <w:tabs>
          <w:tab w:val="left" w:pos="3357"/>
        </w:tabs>
        <w:bidi w:val="0"/>
        <w:rPr>
          <w:rFonts w:hint="eastAsia"/>
          <w:lang w:val="en-US" w:eastAsia="zh-CN"/>
        </w:rPr>
      </w:pPr>
      <w:bookmarkStart w:id="8" w:name="_Toc5733"/>
      <w:r>
        <w:rPr>
          <w:rFonts w:hint="eastAsia"/>
          <w:lang w:val="en-US" w:eastAsia="zh-CN"/>
        </w:rPr>
        <w:t>应急执行小组</w:t>
      </w:r>
      <w:bookmarkEnd w:id="8"/>
      <w:r>
        <w:rPr>
          <w:rFonts w:hint="eastAsia"/>
          <w:lang w:val="en-US" w:eastAsia="zh-CN"/>
        </w:rPr>
        <w:tab/>
      </w:r>
    </w:p>
    <w:p>
      <w:pPr>
        <w:pStyle w:val="a1"/>
        <w:bidi w:val="0"/>
      </w:pPr>
      <w:r>
        <w:t>由平台运维组工作人员、技术工程师等组成，在</w:t>
      </w:r>
      <w:r>
        <w:rPr>
          <w:rFonts w:hint="eastAsia"/>
          <w:lang w:eastAsia="zh-CN"/>
        </w:rPr>
        <w:t>应急</w:t>
      </w:r>
      <w:r>
        <w:rPr>
          <w:rFonts w:hint="eastAsia"/>
          <w:lang w:val="en-US" w:eastAsia="zh-CN"/>
        </w:rPr>
        <w:t>管理</w:t>
      </w:r>
      <w:r>
        <w:rPr>
          <w:rFonts w:hint="eastAsia"/>
          <w:lang w:eastAsia="zh-CN"/>
        </w:rPr>
        <w:t>办公室</w:t>
      </w:r>
      <w:r>
        <w:t>的领导下开展具体的应急处置工作。其主要职责包括：</w:t>
      </w:r>
    </w:p>
    <w:p>
      <w:pPr>
        <w:numPr>
          <w:ilvl w:val="0"/>
          <w:numId w:val="4"/>
        </w:numPr>
        <w:spacing w:before="54" w:line="219" w:lineRule="auto"/>
        <w:ind w:left="425" w:hanging="425" w:leftChars="0" w:firstLineChars="0"/>
        <w:rPr>
          <w:rFonts w:ascii="宋体" w:eastAsia="宋体" w:hAnsi="宋体" w:cs="宋体"/>
          <w:sz w:val="24"/>
          <w:szCs w:val="24"/>
        </w:rPr>
      </w:pPr>
      <w:r>
        <w:rPr>
          <w:rFonts w:ascii="宋体" w:eastAsia="宋体" w:hAnsi="宋体" w:cs="宋体"/>
          <w:spacing w:val="-1"/>
          <w:sz w:val="24"/>
          <w:szCs w:val="24"/>
        </w:rPr>
        <w:t>负责日常应急准备工作，包括应急预案的演练、应急资源的维护等。</w:t>
      </w:r>
    </w:p>
    <w:p>
      <w:pPr>
        <w:numPr>
          <w:ilvl w:val="0"/>
          <w:numId w:val="4"/>
        </w:numPr>
        <w:spacing w:before="241" w:line="362" w:lineRule="auto"/>
        <w:ind w:left="425" w:right="61" w:hanging="425" w:leftChars="0" w:firstLineChars="0"/>
        <w:rPr>
          <w:rFonts w:ascii="宋体" w:eastAsia="宋体" w:hAnsi="宋体" w:cs="宋体"/>
          <w:sz w:val="24"/>
          <w:szCs w:val="24"/>
        </w:rPr>
      </w:pPr>
      <w:r>
        <w:rPr>
          <w:rFonts w:ascii="宋体" w:eastAsia="宋体" w:hAnsi="宋体" w:cs="宋体"/>
          <w:spacing w:val="-3"/>
          <w:sz w:val="24"/>
          <w:szCs w:val="24"/>
        </w:rPr>
        <w:t>接到突发事件报告后，迅速赶赴现场，开展现场勘查、信息</w:t>
      </w:r>
      <w:r>
        <w:rPr>
          <w:rFonts w:ascii="宋体" w:eastAsia="宋体" w:hAnsi="宋体" w:cs="宋体"/>
          <w:spacing w:val="-4"/>
          <w:sz w:val="24"/>
          <w:szCs w:val="24"/>
        </w:rPr>
        <w:t>收集和初步处置</w:t>
      </w:r>
      <w:r>
        <w:rPr>
          <w:rFonts w:ascii="宋体" w:eastAsia="宋体" w:hAnsi="宋体" w:cs="宋体"/>
          <w:spacing w:val="-5"/>
          <w:sz w:val="24"/>
          <w:szCs w:val="24"/>
        </w:rPr>
        <w:t>工作。</w:t>
      </w:r>
    </w:p>
    <w:p>
      <w:pPr>
        <w:numPr>
          <w:ilvl w:val="0"/>
          <w:numId w:val="4"/>
        </w:numPr>
        <w:spacing w:before="52" w:line="362" w:lineRule="auto"/>
        <w:ind w:left="425" w:right="61" w:hanging="425" w:leftChars="0" w:firstLineChars="0"/>
        <w:rPr>
          <w:rFonts w:ascii="宋体" w:eastAsia="宋体" w:hAnsi="宋体" w:cs="宋体"/>
          <w:sz w:val="24"/>
          <w:szCs w:val="24"/>
        </w:rPr>
      </w:pPr>
      <w:r>
        <w:rPr>
          <w:rFonts w:ascii="宋体" w:eastAsia="宋体" w:hAnsi="宋体" w:cs="宋体"/>
          <w:spacing w:val="-3"/>
          <w:sz w:val="24"/>
          <w:szCs w:val="24"/>
        </w:rPr>
        <w:t>按照</w:t>
      </w:r>
      <w:r>
        <w:rPr>
          <w:rFonts w:ascii="宋体" w:hAnsi="宋体" w:cs="宋体" w:hint="eastAsia"/>
          <w:spacing w:val="-3"/>
          <w:sz w:val="24"/>
          <w:szCs w:val="24"/>
          <w:lang w:eastAsia="zh-CN"/>
        </w:rPr>
        <w:t>应急管理办公室</w:t>
      </w:r>
      <w:r>
        <w:rPr>
          <w:rFonts w:ascii="宋体" w:eastAsia="宋体" w:hAnsi="宋体" w:cs="宋体"/>
          <w:spacing w:val="-3"/>
          <w:sz w:val="24"/>
          <w:szCs w:val="24"/>
        </w:rPr>
        <w:t>的指令具体实施应急处置措施，</w:t>
      </w:r>
      <w:r>
        <w:rPr>
          <w:rFonts w:ascii="宋体" w:eastAsia="宋体" w:hAnsi="宋体" w:cs="宋体"/>
          <w:spacing w:val="-4"/>
          <w:sz w:val="24"/>
          <w:szCs w:val="24"/>
        </w:rPr>
        <w:t>如系统恢复、故障排除</w:t>
      </w:r>
      <w:r>
        <w:rPr>
          <w:rFonts w:ascii="宋体" w:eastAsia="宋体" w:hAnsi="宋体" w:cs="宋体"/>
          <w:spacing w:val="-6"/>
          <w:sz w:val="24"/>
          <w:szCs w:val="24"/>
        </w:rPr>
        <w:t>等</w:t>
      </w:r>
    </w:p>
    <w:p>
      <w:pPr>
        <w:numPr>
          <w:ilvl w:val="0"/>
          <w:numId w:val="4"/>
        </w:numPr>
        <w:spacing w:before="52" w:line="219" w:lineRule="auto"/>
        <w:ind w:left="425" w:hanging="425" w:leftChars="0" w:firstLineChars="0"/>
        <w:rPr>
          <w:rFonts w:ascii="宋体" w:eastAsia="宋体" w:hAnsi="宋体" w:cs="宋体"/>
          <w:sz w:val="24"/>
          <w:szCs w:val="24"/>
        </w:rPr>
      </w:pPr>
      <w:r>
        <w:rPr>
          <w:rFonts w:ascii="宋体" w:eastAsia="宋体" w:hAnsi="宋体" w:cs="宋体"/>
          <w:spacing w:val="-1"/>
          <w:sz w:val="24"/>
          <w:szCs w:val="24"/>
        </w:rPr>
        <w:t>及时向</w:t>
      </w:r>
      <w:r>
        <w:rPr>
          <w:rFonts w:ascii="宋体" w:hAnsi="宋体" w:cs="宋体" w:hint="eastAsia"/>
          <w:spacing w:val="-1"/>
          <w:sz w:val="24"/>
          <w:szCs w:val="24"/>
          <w:lang w:eastAsia="zh-CN"/>
        </w:rPr>
        <w:t>应急管理办公室</w:t>
      </w:r>
      <w:r>
        <w:rPr>
          <w:rFonts w:ascii="宋体" w:eastAsia="宋体" w:hAnsi="宋体" w:cs="宋体"/>
          <w:spacing w:val="-1"/>
          <w:sz w:val="24"/>
          <w:szCs w:val="24"/>
        </w:rPr>
        <w:t>汇报应急处置进展情况和结果。</w:t>
      </w:r>
    </w:p>
    <w:p>
      <w:pPr>
        <w:pStyle w:val="2"/>
        <w:bidi w:val="0"/>
        <w:rPr>
          <w:rFonts w:hint="default"/>
          <w:lang w:val="en-US" w:eastAsia="zh-CN"/>
        </w:rPr>
      </w:pPr>
      <w:bookmarkStart w:id="9" w:name="_Toc14311"/>
      <w:r>
        <w:rPr>
          <w:rFonts w:hint="eastAsia"/>
          <w:lang w:val="en-US" w:eastAsia="zh-CN"/>
        </w:rPr>
        <w:t>技术支持小组</w:t>
      </w:r>
      <w:bookmarkEnd w:id="9"/>
    </w:p>
    <w:p>
      <w:pPr>
        <w:pStyle w:val="a1"/>
        <w:bidi w:val="0"/>
      </w:pPr>
      <w:r>
        <w:rPr>
          <w:rFonts w:hint="eastAsia"/>
          <w:lang w:val="en-US" w:eastAsia="zh-CN"/>
        </w:rPr>
        <w:t>技术支持小组</w:t>
      </w:r>
      <w:r>
        <w:t>由企业内部</w:t>
      </w:r>
      <w:r>
        <w:rPr>
          <w:rFonts w:hint="eastAsia"/>
          <w:lang w:val="en-US" w:eastAsia="zh-CN"/>
        </w:rPr>
        <w:t>各部门领导</w:t>
      </w:r>
      <w:r>
        <w:t>、外部合作技术机构人员等组成，为应急处置提供技术支持。其主要职责包括：</w:t>
      </w:r>
    </w:p>
    <w:p>
      <w:pPr>
        <w:numPr>
          <w:ilvl w:val="0"/>
          <w:numId w:val="5"/>
        </w:numPr>
        <w:spacing w:before="52" w:line="219" w:lineRule="auto"/>
        <w:ind w:left="425" w:hanging="425" w:leftChars="0" w:firstLineChars="0"/>
        <w:rPr>
          <w:rFonts w:ascii="宋体" w:eastAsia="宋体" w:hAnsi="宋体" w:cs="宋体"/>
          <w:sz w:val="24"/>
          <w:szCs w:val="24"/>
        </w:rPr>
      </w:pPr>
      <w:r>
        <w:rPr>
          <w:rFonts w:ascii="宋体" w:eastAsia="宋体" w:hAnsi="宋体" w:cs="宋体"/>
          <w:spacing w:val="-1"/>
          <w:sz w:val="24"/>
          <w:szCs w:val="24"/>
        </w:rPr>
        <w:t>为应急预案的制定和完善提供技术咨询。</w:t>
      </w:r>
    </w:p>
    <w:p>
      <w:pPr>
        <w:numPr>
          <w:ilvl w:val="0"/>
          <w:numId w:val="5"/>
        </w:numPr>
        <w:spacing w:before="243" w:line="219" w:lineRule="auto"/>
        <w:ind w:left="425" w:hanging="425" w:leftChars="0" w:firstLineChars="0"/>
        <w:rPr>
          <w:rFonts w:ascii="宋体" w:eastAsia="宋体" w:hAnsi="宋体" w:cs="宋体"/>
          <w:sz w:val="24"/>
          <w:szCs w:val="24"/>
        </w:rPr>
      </w:pPr>
      <w:r>
        <w:rPr>
          <w:rFonts w:ascii="宋体" w:eastAsia="宋体" w:hAnsi="宋体" w:cs="宋体"/>
          <w:sz w:val="24"/>
          <w:szCs w:val="24"/>
        </w:rPr>
        <w:t>在应急处置过程中，提供技术指导和解决方案</w:t>
      </w:r>
      <w:r>
        <w:rPr>
          <w:rFonts w:ascii="宋体" w:eastAsia="宋体" w:hAnsi="宋体" w:cs="宋体"/>
          <w:spacing w:val="-1"/>
          <w:sz w:val="24"/>
          <w:szCs w:val="24"/>
        </w:rPr>
        <w:t>，协助解决技术难题。</w:t>
      </w:r>
    </w:p>
    <w:p>
      <w:pPr>
        <w:numPr>
          <w:ilvl w:val="0"/>
          <w:numId w:val="5"/>
        </w:numPr>
        <w:spacing w:before="245" w:line="219" w:lineRule="auto"/>
        <w:ind w:left="425" w:hanging="425" w:leftChars="0" w:firstLineChars="0"/>
        <w:rPr>
          <w:rFonts w:ascii="宋体" w:eastAsia="宋体" w:hAnsi="宋体" w:cs="宋体"/>
          <w:sz w:val="24"/>
          <w:szCs w:val="24"/>
        </w:rPr>
      </w:pPr>
      <w:r>
        <w:rPr>
          <w:rFonts w:ascii="宋体" w:eastAsia="宋体" w:hAnsi="宋体" w:cs="宋体"/>
          <w:spacing w:val="-1"/>
          <w:sz w:val="24"/>
          <w:szCs w:val="24"/>
        </w:rPr>
        <w:t>参与应急处置后的技术分析和总结，提出系统优化和改进建议。</w:t>
      </w:r>
    </w:p>
    <w:p>
      <w:pPr>
        <w:pStyle w:val="2"/>
        <w:bidi w:val="0"/>
      </w:pPr>
      <w:bookmarkStart w:id="10" w:name="bookmark9"/>
      <w:bookmarkEnd w:id="10"/>
      <w:bookmarkStart w:id="11" w:name="_Toc28012"/>
      <w:r>
        <w:t>后勤保障小组</w:t>
      </w:r>
      <w:bookmarkEnd w:id="11"/>
    </w:p>
    <w:p>
      <w:pPr>
        <w:spacing w:before="242" w:line="361" w:lineRule="auto"/>
        <w:ind w:left="26" w:right="61" w:firstLine="506"/>
        <w:rPr>
          <w:rFonts w:ascii="宋体" w:eastAsia="宋体" w:hAnsi="宋体" w:cs="宋体"/>
          <w:sz w:val="24"/>
          <w:szCs w:val="24"/>
        </w:rPr>
      </w:pPr>
      <w:r>
        <w:rPr>
          <w:rFonts w:ascii="宋体" w:eastAsia="宋体" w:hAnsi="宋体" w:cs="宋体"/>
          <w:spacing w:val="-4"/>
          <w:sz w:val="24"/>
          <w:szCs w:val="24"/>
        </w:rPr>
        <w:t>由</w:t>
      </w:r>
      <w:r>
        <w:rPr>
          <w:rFonts w:ascii="宋体" w:eastAsia="宋体" w:hAnsi="宋体" w:cs="宋体" w:hint="eastAsia"/>
          <w:spacing w:val="-4"/>
          <w:sz w:val="24"/>
          <w:szCs w:val="24"/>
          <w:lang w:val="en-US" w:eastAsia="zh-CN"/>
        </w:rPr>
        <w:t>综合办公室、</w:t>
      </w:r>
      <w:r>
        <w:rPr>
          <w:rFonts w:ascii="宋体" w:eastAsia="宋体" w:hAnsi="宋体" w:cs="宋体"/>
          <w:spacing w:val="-4"/>
          <w:sz w:val="24"/>
          <w:szCs w:val="24"/>
        </w:rPr>
        <w:t>采购</w:t>
      </w:r>
      <w:r>
        <w:rPr>
          <w:rFonts w:ascii="宋体" w:eastAsia="宋体" w:hAnsi="宋体" w:cs="宋体" w:hint="eastAsia"/>
          <w:spacing w:val="-4"/>
          <w:sz w:val="24"/>
          <w:szCs w:val="24"/>
          <w:lang w:val="en-US" w:eastAsia="zh-CN"/>
        </w:rPr>
        <w:t>部</w:t>
      </w:r>
      <w:r>
        <w:rPr>
          <w:rFonts w:ascii="宋体" w:eastAsia="宋体" w:hAnsi="宋体" w:cs="宋体"/>
          <w:spacing w:val="-4"/>
          <w:sz w:val="24"/>
          <w:szCs w:val="24"/>
        </w:rPr>
        <w:t>等部门相关人员组成，负责应急处置过程中的</w:t>
      </w:r>
      <w:r>
        <w:rPr>
          <w:rFonts w:ascii="宋体" w:eastAsia="宋体" w:hAnsi="宋体" w:cs="宋体"/>
          <w:spacing w:val="-5"/>
          <w:sz w:val="24"/>
          <w:szCs w:val="24"/>
        </w:rPr>
        <w:t>后勤保障</w:t>
      </w:r>
      <w:r>
        <w:rPr>
          <w:rFonts w:ascii="宋体" w:eastAsia="宋体" w:hAnsi="宋体" w:cs="宋体"/>
          <w:spacing w:val="-2"/>
          <w:sz w:val="24"/>
          <w:szCs w:val="24"/>
        </w:rPr>
        <w:t>工作。其主要职责包括：</w:t>
      </w:r>
    </w:p>
    <w:p>
      <w:pPr>
        <w:spacing w:before="54" w:line="219" w:lineRule="auto"/>
        <w:ind w:left="504"/>
        <w:rPr>
          <w:rFonts w:ascii="宋体" w:eastAsia="宋体" w:hAnsi="宋体" w:cs="宋体"/>
          <w:sz w:val="24"/>
          <w:szCs w:val="24"/>
        </w:rPr>
      </w:pPr>
      <w:r>
        <w:rPr>
          <w:rFonts w:ascii="宋体" w:eastAsia="宋体" w:hAnsi="宋体" w:cs="宋体"/>
          <w:spacing w:val="-3"/>
          <w:sz w:val="24"/>
          <w:szCs w:val="24"/>
        </w:rPr>
        <w:t>保障应急处置所需的物资供应，如设备、工具、通信器材、防护用品等。</w:t>
      </w:r>
    </w:p>
    <w:p>
      <w:pPr>
        <w:spacing w:before="243" w:line="219" w:lineRule="auto"/>
        <w:ind w:left="512"/>
        <w:rPr>
          <w:rFonts w:ascii="宋体" w:eastAsia="宋体" w:hAnsi="宋体" w:cs="宋体"/>
          <w:sz w:val="24"/>
          <w:szCs w:val="24"/>
        </w:rPr>
      </w:pPr>
      <w:r>
        <w:rPr>
          <w:rFonts w:ascii="宋体" w:eastAsia="宋体" w:hAnsi="宋体" w:cs="宋体"/>
          <w:spacing w:val="-1"/>
          <w:sz w:val="24"/>
          <w:szCs w:val="24"/>
        </w:rPr>
        <w:t>负责应急处置人员的交通、食宿等后勤保障。</w:t>
      </w:r>
    </w:p>
    <w:p>
      <w:pPr>
        <w:spacing w:before="244" w:line="219" w:lineRule="auto"/>
        <w:ind w:left="503"/>
        <w:rPr>
          <w:rFonts w:ascii="宋体" w:eastAsia="宋体" w:hAnsi="宋体" w:cs="宋体"/>
          <w:sz w:val="24"/>
          <w:szCs w:val="24"/>
        </w:rPr>
      </w:pPr>
      <w:r>
        <w:rPr>
          <w:rFonts w:ascii="宋体" w:eastAsia="宋体" w:hAnsi="宋体" w:cs="宋体"/>
          <w:spacing w:val="-1"/>
          <w:sz w:val="24"/>
          <w:szCs w:val="24"/>
        </w:rPr>
        <w:t>做好应急处置过程中的资金保障工作。</w:t>
      </w:r>
    </w:p>
    <w:p>
      <w:pPr>
        <w:pStyle w:val="1"/>
        <w:bidi w:val="0"/>
        <w:rPr>
          <w:rFonts w:hint="default"/>
          <w:lang w:val="en-US" w:eastAsia="zh-CN"/>
        </w:rPr>
      </w:pPr>
      <w:bookmarkStart w:id="12" w:name="_Toc19308"/>
      <w:r>
        <w:rPr>
          <w:rFonts w:hint="eastAsia"/>
          <w:lang w:val="en-US" w:eastAsia="zh-CN"/>
        </w:rPr>
        <w:t>应急管理实施</w:t>
      </w:r>
      <w:bookmarkEnd w:id="12"/>
    </w:p>
    <w:p>
      <w:pPr>
        <w:pStyle w:val="2"/>
        <w:bidi w:val="0"/>
      </w:pPr>
      <w:bookmarkStart w:id="13" w:name="_Toc4018"/>
      <w:r>
        <w:t>突发事件分级</w:t>
      </w:r>
      <w:bookmarkEnd w:id="13"/>
    </w:p>
    <w:p>
      <w:pPr>
        <w:pStyle w:val="a1"/>
        <w:bidi w:val="0"/>
        <w:rPr>
          <w:rFonts w:eastAsia="宋体" w:hint="default"/>
          <w:lang w:val="en-US" w:eastAsia="zh-CN"/>
        </w:rPr>
      </w:pPr>
      <w:r>
        <w:t>根据突发事件的影响范围、严重程度和处置难度，将其分为四级</w:t>
      </w:r>
      <w:r>
        <w:rPr>
          <w:rFonts w:hint="eastAsia"/>
          <w:lang w:eastAsia="zh-CN"/>
        </w:rPr>
        <w:t>，</w:t>
      </w:r>
      <w:r>
        <w:rPr>
          <w:rFonts w:hint="eastAsia"/>
          <w:lang w:val="en-US" w:eastAsia="zh-CN"/>
        </w:rPr>
        <w:t>如表5-1所示。</w:t>
      </w:r>
    </w:p>
    <w:p>
      <w:pPr>
        <w:pStyle w:val="a1"/>
        <w:jc w:val="center"/>
        <w:rPr>
          <w:rFonts w:eastAsia="宋体" w:hint="default"/>
          <w:lang w:val="en-US" w:eastAsia="zh-CN"/>
        </w:rPr>
      </w:pPr>
      <w:r>
        <w:rPr>
          <w:rFonts w:hint="eastAsia"/>
          <w:lang w:val="en-US" w:eastAsia="zh-CN"/>
        </w:rPr>
        <w:t xml:space="preserve">表 </w:t>
      </w:r>
      <w:r>
        <w:fldChar w:fldCharType="begin"/>
      </w:r>
      <w:r>
        <w:instrText xml:space="preserve"> </w:instrText>
      </w:r>
      <w:r>
        <w:rPr>
          <w:rFonts w:hint="eastAsia"/>
        </w:rPr>
        <w:instrText xml:space="preserve"> STYLEREF "柴_标题1" \n \* Charformat</w:instrText>
      </w:r>
      <w:r>
        <w:instrText xml:space="preserve"> </w:instrText>
      </w:r>
      <w:r>
        <w:fldChar w:fldCharType="separate"/>
      </w:r>
      <w:r>
        <w:rPr>
          <w:rFonts w:hint="eastAsia"/>
        </w:rPr>
        <w:t>5</w:t>
      </w:r>
      <w:r>
        <w:fldChar w:fldCharType="end"/>
      </w:r>
      <w:r>
        <w:rPr>
          <w:rFonts w:hint="eastAsia"/>
          <w:lang w:val="en-US" w:eastAsia="zh-CN"/>
        </w:rPr>
        <w:t>-</w:t>
      </w:r>
      <w:r>
        <w:fldChar w:fldCharType="begin"/>
      </w:r>
      <w:r>
        <w:instrText xml:space="preserve"> </w:instrText>
      </w:r>
      <w:r>
        <w:rPr>
          <w:rFonts w:hint="eastAsia"/>
        </w:rPr>
        <w:instrText>SEQ 表 \* ARABIC  \s 1</w:instrText>
      </w:r>
      <w:r>
        <w:instrText xml:space="preserve"> </w:instrText>
      </w:r>
      <w:r>
        <w:fldChar w:fldCharType="separate"/>
      </w:r>
      <w:r>
        <w:rPr>
          <w:rFonts w:hint="eastAsia"/>
        </w:rPr>
        <w:t>1</w:t>
      </w:r>
      <w:r>
        <w:fldChar w:fldCharType="end"/>
      </w:r>
      <w:r>
        <w:rPr>
          <w:rFonts w:hint="eastAsia"/>
          <w:lang w:val="en-US" w:eastAsia="zh-CN"/>
        </w:rPr>
        <w:t xml:space="preserve"> 突发事件分级</w:t>
      </w:r>
    </w:p>
    <w:tbl>
      <w:tblPr>
        <w:tblStyle w:val="Table"/>
        <w:tblW w:w="4971"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33"/>
        <w:gridCol w:w="765"/>
        <w:gridCol w:w="4018"/>
        <w:gridCol w:w="2958"/>
      </w:tblGrid>
      <w:tr>
        <w:tblPrEx>
          <w:tblW w:w="4971"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blHeader/>
        </w:trPr>
        <w:tc>
          <w:tcPr/>
          <w:p>
            <w:pPr>
              <w:rPr>
                <w:rFonts w:hint="eastAsia"/>
              </w:rPr>
            </w:pPr>
            <w:r>
              <w:rPr>
                <w:rFonts w:hint="eastAsia"/>
              </w:rPr>
              <w:t>类别名称</w:t>
            </w:r>
          </w:p>
        </w:tc>
        <w:tc>
          <w:tcPr>
            <w:tcW w:w="451" w:type="pct"/>
          </w:tcPr>
          <w:p>
            <w:pPr>
              <w:rPr>
                <w:rFonts w:hint="eastAsia"/>
              </w:rPr>
            </w:pPr>
            <w:r>
              <w:rPr>
                <w:rFonts w:hint="eastAsia"/>
              </w:rPr>
              <w:t>级别</w:t>
            </w:r>
          </w:p>
        </w:tc>
        <w:tc>
          <w:tcPr>
            <w:tcW w:w="2370" w:type="pct"/>
          </w:tcPr>
          <w:p>
            <w:pPr>
              <w:rPr>
                <w:rFonts w:hint="eastAsia"/>
              </w:rPr>
            </w:pPr>
            <w:r>
              <w:rPr>
                <w:rFonts w:hint="eastAsia"/>
              </w:rPr>
              <w:t>描述/界定标准</w:t>
            </w:r>
          </w:p>
        </w:tc>
        <w:tc>
          <w:tcPr>
            <w:tcW w:w="1745" w:type="pct"/>
          </w:tcPr>
          <w:p>
            <w:pPr>
              <w:rPr>
                <w:rFonts w:hint="eastAsia"/>
              </w:rPr>
            </w:pPr>
            <w:r>
              <w:rPr>
                <w:rFonts w:hint="eastAsia"/>
              </w:rPr>
              <w:t>典型示例</w:t>
            </w:r>
          </w:p>
        </w:tc>
      </w:tr>
      <w:tr>
        <w:tblPrEx>
          <w:tblW w:w="4971" w:type="pct"/>
          <w:tblInd w:w="0" w:type="dxa"/>
          <w:tblLayout w:type="fixed"/>
          <w:tblCellMar>
            <w:top w:w="0" w:type="dxa"/>
            <w:left w:w="108" w:type="dxa"/>
            <w:bottom w:w="0" w:type="dxa"/>
            <w:right w:w="108" w:type="dxa"/>
          </w:tblCellMar>
        </w:tblPrEx>
        <w:trPr>
          <w:trHeight w:val="1295"/>
        </w:trPr>
        <w:tc>
          <w:tcPr/>
          <w:p>
            <w:pPr>
              <w:rPr>
                <w:rFonts w:hint="eastAsia"/>
              </w:rPr>
            </w:pPr>
            <w:r>
              <w:rPr>
                <w:rFonts w:hint="eastAsia"/>
              </w:rPr>
              <w:t>特别重大突发事件</w:t>
            </w:r>
          </w:p>
        </w:tc>
        <w:tc>
          <w:tcPr>
            <w:tcW w:w="451" w:type="pct"/>
          </w:tcPr>
          <w:p>
            <w:pPr>
              <w:rPr>
                <w:rFonts w:hint="eastAsia"/>
              </w:rPr>
            </w:pPr>
            <w:r>
              <w:rPr>
                <w:rFonts w:hint="eastAsia"/>
              </w:rPr>
              <w:t>I级</w:t>
            </w:r>
          </w:p>
        </w:tc>
        <w:tc>
          <w:tcPr>
            <w:tcW w:w="2370" w:type="pct"/>
          </w:tcPr>
          <w:p>
            <w:pPr>
              <w:rPr>
                <w:rFonts w:hint="eastAsia"/>
              </w:rPr>
            </w:pPr>
            <w:r>
              <w:rPr>
                <w:rFonts w:hint="eastAsia"/>
              </w:rPr>
              <w:t>影响整个公司核心业务系统长时间中断（如超过4小时）；影响全部或绝大部分用户；对公司声誉或财务造成重大损失。</w:t>
            </w:r>
          </w:p>
        </w:tc>
        <w:tc>
          <w:tcPr>
            <w:tcW w:w="1745" w:type="pct"/>
          </w:tcPr>
          <w:p>
            <w:pPr>
              <w:rPr>
                <w:rFonts w:hint="eastAsia"/>
              </w:rPr>
            </w:pPr>
            <w:r>
              <w:rPr>
                <w:rFonts w:hint="eastAsia"/>
              </w:rPr>
              <w:t>数据中心核心交换机宕机、大规模勒索病毒感染、主干网络中断。</w:t>
            </w:r>
          </w:p>
        </w:tc>
      </w:tr>
      <w:tr>
        <w:tblPrEx>
          <w:tblW w:w="4971" w:type="pct"/>
          <w:tblInd w:w="0" w:type="dxa"/>
          <w:tblLayout w:type="fixed"/>
          <w:tblCellMar>
            <w:top w:w="0" w:type="dxa"/>
            <w:left w:w="108" w:type="dxa"/>
            <w:bottom w:w="0" w:type="dxa"/>
            <w:right w:w="108" w:type="dxa"/>
          </w:tblCellMar>
        </w:tblPrEx>
        <w:tc>
          <w:tcPr/>
          <w:p>
            <w:pPr>
              <w:rPr>
                <w:rFonts w:hint="eastAsia"/>
              </w:rPr>
            </w:pPr>
            <w:r>
              <w:rPr>
                <w:rFonts w:hint="eastAsia"/>
              </w:rPr>
              <w:t>重大突发事件</w:t>
            </w:r>
          </w:p>
        </w:tc>
        <w:tc>
          <w:tcPr>
            <w:tcW w:w="451" w:type="pct"/>
          </w:tcPr>
          <w:p>
            <w:pPr>
              <w:rPr>
                <w:rFonts w:hint="eastAsia"/>
              </w:rPr>
            </w:pPr>
            <w:r>
              <w:rPr>
                <w:rFonts w:hint="eastAsia"/>
              </w:rPr>
              <w:t>II级</w:t>
            </w:r>
          </w:p>
        </w:tc>
        <w:tc>
          <w:tcPr>
            <w:tcW w:w="2370" w:type="pct"/>
          </w:tcPr>
          <w:p>
            <w:pPr>
              <w:rPr>
                <w:rFonts w:hint="eastAsia"/>
              </w:rPr>
            </w:pPr>
            <w:r>
              <w:rPr>
                <w:rFonts w:hint="eastAsia"/>
              </w:rPr>
              <w:t>影响公司某个重要业务部门或关键应用系统中断；影响大量用户（如单个部门无法工作）。</w:t>
            </w:r>
          </w:p>
        </w:tc>
        <w:tc>
          <w:tcPr>
            <w:tcW w:w="1745" w:type="pct"/>
          </w:tcPr>
          <w:p>
            <w:pPr>
              <w:rPr>
                <w:rFonts w:hint="eastAsia"/>
              </w:rPr>
            </w:pPr>
            <w:r>
              <w:rPr>
                <w:rFonts w:hint="eastAsia"/>
              </w:rPr>
              <w:t>财务系统崩溃、OA系统无法访问、大楼局域网中断。</w:t>
            </w:r>
          </w:p>
        </w:tc>
      </w:tr>
      <w:tr>
        <w:tblPrEx>
          <w:tblW w:w="4971" w:type="pct"/>
          <w:tblInd w:w="0" w:type="dxa"/>
          <w:tblLayout w:type="fixed"/>
          <w:tblCellMar>
            <w:top w:w="0" w:type="dxa"/>
            <w:left w:w="108" w:type="dxa"/>
            <w:bottom w:w="0" w:type="dxa"/>
            <w:right w:w="108" w:type="dxa"/>
          </w:tblCellMar>
        </w:tblPrEx>
        <w:tc>
          <w:tcPr/>
          <w:p>
            <w:pPr>
              <w:rPr>
                <w:rFonts w:hint="eastAsia"/>
              </w:rPr>
            </w:pPr>
            <w:r>
              <w:rPr>
                <w:rFonts w:hint="eastAsia"/>
              </w:rPr>
              <w:t>较大突发事件</w:t>
            </w:r>
          </w:p>
        </w:tc>
        <w:tc>
          <w:tcPr>
            <w:tcW w:w="451" w:type="pct"/>
          </w:tcPr>
          <w:p>
            <w:pPr>
              <w:rPr>
                <w:rFonts w:hint="eastAsia"/>
              </w:rPr>
            </w:pPr>
            <w:r>
              <w:rPr>
                <w:rFonts w:hint="eastAsia"/>
              </w:rPr>
              <w:t>III级</w:t>
            </w:r>
          </w:p>
        </w:tc>
        <w:tc>
          <w:tcPr>
            <w:tcW w:w="2370" w:type="pct"/>
          </w:tcPr>
          <w:p>
            <w:pPr>
              <w:rPr>
                <w:rFonts w:hint="eastAsia"/>
              </w:rPr>
            </w:pPr>
            <w:r>
              <w:rPr>
                <w:rFonts w:hint="eastAsia"/>
              </w:rPr>
              <w:t>影响局部范围，如单个团队或部分用户；核心业务系统性能严重下降但未完全中断。</w:t>
            </w:r>
          </w:p>
        </w:tc>
        <w:tc>
          <w:tcPr>
            <w:tcW w:w="1745" w:type="pct"/>
          </w:tcPr>
          <w:p>
            <w:pPr>
              <w:rPr>
                <w:rFonts w:hint="eastAsia"/>
              </w:rPr>
            </w:pPr>
            <w:r>
              <w:rPr>
                <w:rFonts w:hint="eastAsia"/>
              </w:rPr>
              <w:t>部门打印机集体故障、某个非关键应用服务器宕机。</w:t>
            </w:r>
          </w:p>
        </w:tc>
      </w:tr>
      <w:tr>
        <w:tblPrEx>
          <w:tblW w:w="4971" w:type="pct"/>
          <w:tblInd w:w="0" w:type="dxa"/>
          <w:tblLayout w:type="fixed"/>
          <w:tblCellMar>
            <w:top w:w="0" w:type="dxa"/>
            <w:left w:w="108" w:type="dxa"/>
            <w:bottom w:w="0" w:type="dxa"/>
            <w:right w:w="108" w:type="dxa"/>
          </w:tblCellMar>
        </w:tblPrEx>
        <w:tc>
          <w:tcPr/>
          <w:p>
            <w:pPr>
              <w:rPr>
                <w:rFonts w:hint="eastAsia"/>
              </w:rPr>
            </w:pPr>
            <w:r>
              <w:rPr>
                <w:rFonts w:hint="eastAsia"/>
              </w:rPr>
              <w:t>一般突发事件</w:t>
            </w:r>
          </w:p>
        </w:tc>
        <w:tc>
          <w:tcPr>
            <w:tcW w:w="451" w:type="pct"/>
          </w:tcPr>
          <w:p>
            <w:pPr>
              <w:rPr>
                <w:rFonts w:hint="eastAsia"/>
              </w:rPr>
            </w:pPr>
            <w:r>
              <w:rPr>
                <w:rFonts w:hint="eastAsia"/>
              </w:rPr>
              <w:t>IV级</w:t>
            </w:r>
          </w:p>
        </w:tc>
        <w:tc>
          <w:tcPr>
            <w:tcW w:w="2370" w:type="pct"/>
          </w:tcPr>
          <w:p>
            <w:pPr>
              <w:rPr>
                <w:rFonts w:hint="eastAsia"/>
              </w:rPr>
            </w:pPr>
            <w:r>
              <w:rPr>
                <w:rFonts w:hint="eastAsia"/>
              </w:rPr>
              <w:t>影响单个或极少数用户，不影响其核心工作；或为常见的服务请求。</w:t>
            </w:r>
          </w:p>
        </w:tc>
        <w:tc>
          <w:tcPr>
            <w:tcW w:w="1745" w:type="pct"/>
          </w:tcPr>
          <w:p>
            <w:pPr>
              <w:rPr>
                <w:rFonts w:hint="eastAsia"/>
              </w:rPr>
            </w:pPr>
            <w:r>
              <w:rPr>
                <w:rFonts w:hint="eastAsia"/>
              </w:rPr>
              <w:t>个人电脑蓝屏、软件安装请求、密码重置。</w:t>
            </w:r>
          </w:p>
        </w:tc>
      </w:tr>
    </w:tbl>
    <w:p>
      <w:pPr>
        <w:pStyle w:val="2"/>
        <w:bidi w:val="0"/>
      </w:pPr>
      <w:bookmarkStart w:id="14" w:name="bookmark15"/>
      <w:bookmarkEnd w:id="14"/>
      <w:bookmarkStart w:id="15" w:name="_Toc23101"/>
      <w:r>
        <w:t>应急处置流程</w:t>
      </w:r>
      <w:bookmarkEnd w:id="15"/>
    </w:p>
    <w:p>
      <w:pPr>
        <w:pStyle w:val="a1"/>
        <w:rPr>
          <w:rFonts w:hint="eastAsia"/>
          <w:lang w:val="en-US" w:eastAsia="zh-CN"/>
        </w:rPr>
      </w:pPr>
      <w:r>
        <w:rPr>
          <w:rFonts w:hint="eastAsia"/>
          <w:lang w:val="en-US" w:eastAsia="zh-CN"/>
        </w:rPr>
        <w:t>应急处理流程如图5-1所示：</w:t>
      </w:r>
    </w:p>
    <w:p>
      <w:pPr>
        <w:rPr>
          <w:rFonts w:hint="eastAsia"/>
          <w:lang w:val="en-US" w:eastAsia="zh-CN"/>
        </w:rPr>
      </w:pPr>
      <w:r>
        <w:rPr>
          <w:rFonts w:hint="eastAsia"/>
          <w:lang w:val="en-US" w:eastAsia="zh-CN"/>
        </w:rPr>
        <w:br w:type="page"/>
      </w:r>
    </w:p>
    <w:p>
      <w:pPr>
        <w:pStyle w:val="a1"/>
        <w:jc w:val="center"/>
        <w:rPr>
          <w:rFonts w:eastAsia="宋体" w:hint="default"/>
          <w:lang w:val="en-US" w:eastAsia="zh-CN"/>
        </w:rPr>
      </w:pPr>
      <w:r>
        <w:rPr>
          <w:rFonts w:hint="eastAsia"/>
          <w:lang w:val="en-US" w:eastAsia="zh-CN"/>
        </w:rPr>
        <w:t xml:space="preserve">图 </w:t>
      </w:r>
      <w:r>
        <w:fldChar w:fldCharType="begin"/>
      </w:r>
      <w:r>
        <w:instrText xml:space="preserve"> </w:instrText>
      </w:r>
      <w:r>
        <w:rPr>
          <w:rFonts w:hint="eastAsia"/>
        </w:rPr>
        <w:instrText xml:space="preserve"> STYLEREF "柴_标题1" \n \* Charformat</w:instrText>
      </w:r>
      <w:r>
        <w:instrText xml:space="preserve"> </w:instrText>
      </w:r>
      <w:r>
        <w:fldChar w:fldCharType="separate"/>
      </w:r>
      <w:r>
        <w:rPr>
          <w:rFonts w:hint="eastAsia"/>
        </w:rPr>
        <w:t>5</w:t>
      </w:r>
      <w:r>
        <w:fldChar w:fldCharType="end"/>
      </w:r>
      <w:r>
        <w:rPr>
          <w:rFonts w:hint="eastAsia"/>
          <w:lang w:val="en-US" w:eastAsia="zh-CN"/>
        </w:rPr>
        <w:t>-</w:t>
      </w:r>
      <w:r>
        <w:fldChar w:fldCharType="begin"/>
      </w:r>
      <w:r>
        <w:instrText xml:space="preserve"> </w:instrText>
      </w:r>
      <w:r>
        <w:rPr>
          <w:rFonts w:hint="eastAsia"/>
        </w:rPr>
        <w:instrText xml:space="preserve">SEQ </w:instrText>
      </w:r>
      <w:r>
        <w:rPr>
          <w:rFonts w:hint="eastAsia"/>
          <w:lang w:val="en-US" w:eastAsia="zh-CN"/>
        </w:rPr>
        <w:instrText>图</w:instrText>
      </w:r>
      <w:r>
        <w:rPr>
          <w:rFonts w:hint="eastAsia"/>
        </w:rPr>
        <w:instrText xml:space="preserve"> \* ARABIC  \s 1</w:instrText>
      </w:r>
      <w:r>
        <w:instrText xml:space="preserve"> </w:instrText>
      </w:r>
      <w:r>
        <w:fldChar w:fldCharType="separate"/>
      </w:r>
      <w:r>
        <w:rPr>
          <w:rFonts w:hint="eastAsia"/>
        </w:rPr>
        <w:t>1</w:t>
      </w:r>
      <w:r>
        <w:fldChar w:fldCharType="end"/>
      </w:r>
      <w:r>
        <w:rPr>
          <w:rFonts w:hint="eastAsia"/>
          <w:lang w:val="en-US" w:eastAsia="zh-CN"/>
        </w:rPr>
        <w:t xml:space="preserve"> 突发事件分级</w:t>
      </w:r>
    </w:p>
    <w:p>
      <w:pPr>
        <w:pStyle w:val="a1"/>
        <w:jc w:val="center"/>
        <w:rPr>
          <w:rFonts w:eastAsia="宋体" w:hint="eastAsia"/>
          <w:lang w:eastAsia="zh-CN"/>
        </w:rPr>
      </w:pPr>
      <w:r>
        <w:rPr>
          <w:rFonts w:eastAsia="宋体" w:hint="eastAsia"/>
          <w:lang w:eastAsia="zh-CN"/>
        </w:rPr>
        <w:drawing>
          <wp:inline distT="0" distB="0" distL="114300" distR="114300">
            <wp:extent cx="3876040" cy="8341995"/>
            <wp:effectExtent l="0" t="0" r="10160" b="1905"/>
            <wp:docPr id="1" name="图片 1" descr="deepseek_mermaid_20250907_738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eepseek_mermaid_20250907_738761"/>
                    <pic:cNvPicPr>
                      <a:picLocks noChangeAspect="1"/>
                    </pic:cNvPicPr>
                  </pic:nvPicPr>
                  <pic:blipFill>
                    <a:blip xmlns:r="http://schemas.openxmlformats.org/officeDocument/2006/relationships" r:embed="rId4"/>
                    <a:stretch>
                      <a:fillRect/>
                    </a:stretch>
                  </pic:blipFill>
                  <pic:spPr>
                    <a:xfrm>
                      <a:off x="0" y="0"/>
                      <a:ext cx="3876040" cy="8341995"/>
                    </a:xfrm>
                    <a:prstGeom prst="rect">
                      <a:avLst/>
                    </a:prstGeom>
                  </pic:spPr>
                </pic:pic>
              </a:graphicData>
            </a:graphic>
          </wp:inline>
        </w:drawing>
      </w:r>
    </w:p>
    <w:p>
      <w:pPr>
        <w:pStyle w:val="a3"/>
        <w:numPr>
          <w:ilvl w:val="0"/>
          <w:numId w:val="6"/>
        </w:numPr>
        <w:bidi w:val="0"/>
      </w:pPr>
      <w:bookmarkStart w:id="16" w:name="bookmark16"/>
      <w:bookmarkEnd w:id="16"/>
      <w:r>
        <w:t>事件报告与接警</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任何人员发现运维突发事件后，应立即向应急执行小组报告。报告内容包括事件发生的时间、地点、现象、影响范围等信息。</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应急执行小组接到报告后，应立即记录相关信息，并对事件进行初步判断，确定事件等级。</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对于三级及以上突发事件，应急执行小组应立即向</w:t>
      </w:r>
      <w:r>
        <w:rPr>
          <w:rFonts w:hint="eastAsia"/>
          <w:sz w:val="24"/>
          <w:szCs w:val="24"/>
          <w:lang w:eastAsia="zh-CN"/>
        </w:rPr>
        <w:t>应急管理办公室</w:t>
      </w:r>
      <w:r>
        <w:rPr>
          <w:sz w:val="24"/>
          <w:szCs w:val="24"/>
        </w:rPr>
        <w:t>报告；对于四级突发事件，由应急执行小组自行处理，并做好记录。</w:t>
      </w:r>
    </w:p>
    <w:p>
      <w:pPr>
        <w:pStyle w:val="a3"/>
        <w:numPr>
          <w:ilvl w:val="0"/>
          <w:numId w:val="6"/>
        </w:numPr>
        <w:bidi w:val="0"/>
      </w:pPr>
      <w:bookmarkStart w:id="17" w:name="bookmark17"/>
      <w:bookmarkEnd w:id="17"/>
      <w:r>
        <w:t>应急响应启动</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rFonts w:hint="eastAsia"/>
          <w:sz w:val="24"/>
          <w:szCs w:val="24"/>
          <w:lang w:eastAsia="zh-CN"/>
        </w:rPr>
        <w:t>应急管理办公室</w:t>
      </w:r>
      <w:r>
        <w:rPr>
          <w:sz w:val="24"/>
          <w:szCs w:val="24"/>
        </w:rPr>
        <w:t>接到三级及以上突发事件报告后，应立即召开紧急会议，根据事件情况决定是否启动应急响应。</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若决定启动应急响应，</w:t>
      </w:r>
      <w:r>
        <w:rPr>
          <w:rFonts w:hint="eastAsia"/>
          <w:sz w:val="24"/>
          <w:szCs w:val="24"/>
          <w:lang w:eastAsia="zh-CN"/>
        </w:rPr>
        <w:t>应急管理办公室</w:t>
      </w:r>
      <w:r>
        <w:rPr>
          <w:sz w:val="24"/>
          <w:szCs w:val="24"/>
        </w:rPr>
        <w:t>应下达启动应急响应的指令，明确应急处置的目标、任务和要求。</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应急执行小组、技术支持小组、后勤保障小组等相关部门和人员接到指令后，应立即按照职责分工开展应急处置工作。</w:t>
      </w:r>
    </w:p>
    <w:p>
      <w:pPr>
        <w:pStyle w:val="a3"/>
        <w:numPr>
          <w:ilvl w:val="0"/>
          <w:numId w:val="6"/>
        </w:numPr>
        <w:bidi w:val="0"/>
      </w:pPr>
      <w:bookmarkStart w:id="18" w:name="bookmark18"/>
      <w:bookmarkEnd w:id="18"/>
      <w:r>
        <w:t>现场处置</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应急执行小组到达现场后，应迅速开展现场管控，设置警戒区域，防止无关人员进入，避免事态扩大。</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技术支持小组对事件进行技术分析和诊断，确定故障原因和处置方案。</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应急执行小组按照处置方案，采取相应的应急措施，如系统重启、数据恢复、故障设备更换等，尽快恢复系统正常运行。</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在处置过程中，应密切关注事态变化，及时调整处置措施，并做好记录。</w:t>
      </w:r>
    </w:p>
    <w:p>
      <w:pPr>
        <w:pStyle w:val="a3"/>
        <w:numPr>
          <w:ilvl w:val="0"/>
          <w:numId w:val="6"/>
        </w:numPr>
        <w:bidi w:val="0"/>
      </w:pPr>
      <w:bookmarkStart w:id="19" w:name="bookmark19"/>
      <w:bookmarkEnd w:id="19"/>
      <w:r>
        <w:t>应急终止</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当系统恢复正常运行，事件影响得到有效控制，经</w:t>
      </w:r>
      <w:r>
        <w:rPr>
          <w:rFonts w:hint="eastAsia"/>
          <w:sz w:val="24"/>
          <w:szCs w:val="24"/>
          <w:lang w:eastAsia="zh-CN"/>
        </w:rPr>
        <w:t>应急管理办公室</w:t>
      </w:r>
      <w:r>
        <w:rPr>
          <w:sz w:val="24"/>
          <w:szCs w:val="24"/>
        </w:rPr>
        <w:t>检查确认后，宣布应急响应终止。</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应急执行小组负责清理现场，恢复正常的运维秩序。</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各相关部门和人员将应急处置过程中的相关资料、记录整理归档。</w:t>
      </w:r>
    </w:p>
    <w:p>
      <w:pPr>
        <w:pStyle w:val="a3"/>
        <w:numPr>
          <w:ilvl w:val="0"/>
          <w:numId w:val="6"/>
        </w:numPr>
        <w:bidi w:val="0"/>
      </w:pPr>
      <w:bookmarkStart w:id="20" w:name="bookmark20"/>
      <w:bookmarkEnd w:id="20"/>
      <w:r>
        <w:t>后期处置</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rFonts w:hint="eastAsia"/>
          <w:sz w:val="24"/>
          <w:szCs w:val="24"/>
          <w:lang w:eastAsia="zh-CN"/>
        </w:rPr>
        <w:t>应急管理办公室</w:t>
      </w:r>
      <w:r>
        <w:rPr>
          <w:sz w:val="24"/>
          <w:szCs w:val="24"/>
        </w:rPr>
        <w:t>组织相关人员对突发事件的原因、性质、影响范围、损失情况等进行调查评估，形成调查报告。</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针对调查评估结果，总结应急处置经验教训，提出改进措施和建议，完善应急管理制度和应急预案。</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对在应急处置过程中表现突出的单位和个人进行表彰和奖励；对失职渎职造成损失的，按照有关规定追究责任。</w:t>
      </w:r>
    </w:p>
    <w:p>
      <w:pPr>
        <w:pStyle w:val="2"/>
        <w:bidi w:val="0"/>
      </w:pPr>
      <w:bookmarkStart w:id="21" w:name="_Toc24057"/>
      <w:r>
        <w:t>应急准备与保障</w:t>
      </w:r>
      <w:bookmarkEnd w:id="21"/>
    </w:p>
    <w:p>
      <w:pPr>
        <w:pStyle w:val="a3"/>
        <w:numPr>
          <w:ilvl w:val="0"/>
          <w:numId w:val="7"/>
        </w:numPr>
        <w:bidi w:val="0"/>
        <w:ind w:left="425" w:hanging="425" w:leftChars="0" w:firstLineChars="0"/>
      </w:pPr>
      <w:bookmarkStart w:id="22" w:name="bookmark22"/>
      <w:bookmarkEnd w:id="22"/>
      <w:r>
        <w:t>应急预案制定与演练</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平台运维组</w:t>
      </w:r>
      <w:r>
        <w:rPr>
          <w:rFonts w:hint="eastAsia"/>
          <w:sz w:val="24"/>
          <w:szCs w:val="24"/>
          <w:lang w:val="en-US" w:eastAsia="zh-CN"/>
        </w:rPr>
        <w:t>经理</w:t>
      </w:r>
      <w:r>
        <w:rPr>
          <w:sz w:val="24"/>
          <w:szCs w:val="24"/>
        </w:rPr>
        <w:t>负责组织制定和完善各类突发事件的应急预案，明确应急处置流程、责任分工和保障措施等。</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定期组织应急预案演练，检验应急预案的科学性和可操作性，提高应急处置人员的协同配合能力和应急响应速度。演练结束后，及时总结经验教训，对预案进行修订和完善。</w:t>
      </w:r>
    </w:p>
    <w:p>
      <w:pPr>
        <w:pStyle w:val="a3"/>
        <w:numPr>
          <w:ilvl w:val="0"/>
          <w:numId w:val="7"/>
        </w:numPr>
        <w:bidi w:val="0"/>
        <w:ind w:left="425" w:hanging="425" w:leftChars="0" w:firstLineChars="0"/>
      </w:pPr>
      <w:bookmarkStart w:id="23" w:name="bookmark23"/>
      <w:bookmarkEnd w:id="23"/>
      <w:r>
        <w:t>应急资源保障</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建立应急资源库，储备必要的应急设备、工具、软件、备件等物资，并定期进行检查、维护和更新，确保其性能良好。</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明确应急人员的联系方式和通讯方式，确保应急响应期间通讯畅通。与外部供应商、技术服务机构等建立合作关系，确保在应急处置过程中能够及时获得外部技术支持和物资供应。</w:t>
      </w:r>
    </w:p>
    <w:p>
      <w:pPr>
        <w:pStyle w:val="a3"/>
        <w:numPr>
          <w:ilvl w:val="0"/>
          <w:numId w:val="7"/>
        </w:numPr>
        <w:bidi w:val="0"/>
        <w:ind w:left="425" w:hanging="425" w:leftChars="0" w:firstLineChars="0"/>
      </w:pPr>
      <w:bookmarkStart w:id="24" w:name="bookmark24"/>
      <w:bookmarkEnd w:id="24"/>
      <w:r>
        <w:t>技术保障</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加强信息系统的安全防护，采用必要的安全技术和措施，如防火墙、入侵检测系统、数据备份与恢复技术等，提高系统的抗风险能力。</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建立健全系统监控和预警机制，实时监测系统运行状态，及时发现和预警潜在的风险和问题。</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定期对系统进行安全评估和漏洞扫描，及时修复安全漏洞，减少安全隐患。</w:t>
      </w:r>
    </w:p>
    <w:p>
      <w:pPr>
        <w:pStyle w:val="a3"/>
        <w:numPr>
          <w:ilvl w:val="0"/>
          <w:numId w:val="7"/>
        </w:numPr>
        <w:bidi w:val="0"/>
        <w:ind w:left="425" w:hanging="425" w:leftChars="0" w:firstLineChars="0"/>
      </w:pPr>
      <w:bookmarkStart w:id="25" w:name="bookmark25"/>
      <w:bookmarkEnd w:id="25"/>
      <w:r>
        <w:t>培训教育</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定期组织运维人员、应急处置人员等进行应急知识和技能培训，提高其应急意识和处置能力。</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利用企业内部网站、宣传栏、培训会议等多种形式，向全体员工宣传应急管理知识和应急预案，提高员工的应急防范意识。</w:t>
      </w:r>
    </w:p>
    <w:p>
      <w:pPr>
        <w:pStyle w:val="2"/>
        <w:bidi w:val="0"/>
      </w:pPr>
      <w:bookmarkStart w:id="26" w:name="bookmark26"/>
      <w:bookmarkEnd w:id="26"/>
      <w:bookmarkStart w:id="27" w:name="_Toc27741"/>
      <w:r>
        <w:t>监督与考核</w:t>
      </w:r>
      <w:bookmarkEnd w:id="27"/>
    </w:p>
    <w:p>
      <w:pPr>
        <w:pStyle w:val="a1"/>
        <w:numPr>
          <w:ilvl w:val="0"/>
          <w:numId w:val="8"/>
        </w:numPr>
        <w:bidi w:val="0"/>
        <w:ind w:left="425" w:hanging="425" w:leftChars="0" w:firstLineChars="0"/>
      </w:pPr>
      <w:r>
        <w:t>监督检查</w:t>
      </w:r>
    </w:p>
    <w:p>
      <w:pPr>
        <w:pStyle w:val="a1"/>
        <w:bidi w:val="0"/>
      </w:pPr>
      <w:r>
        <w:rPr>
          <w:rFonts w:hint="eastAsia"/>
          <w:lang w:eastAsia="zh-CN"/>
        </w:rPr>
        <w:t>应急管理办公室</w:t>
      </w:r>
      <w:r>
        <w:t>定期对各部门应急管理工作的落实情况进行监督检查，包括应急预案的制定与演练、应急资源的储备与维护、应急培训教育等方面。对发现的问题，及时下达整改通知书，限期整改。</w:t>
      </w:r>
    </w:p>
    <w:p>
      <w:pPr>
        <w:pStyle w:val="a1"/>
        <w:numPr>
          <w:ilvl w:val="0"/>
          <w:numId w:val="8"/>
        </w:numPr>
        <w:bidi w:val="0"/>
        <w:ind w:left="425" w:hanging="425" w:leftChars="0" w:firstLineChars="0"/>
      </w:pPr>
      <w:bookmarkStart w:id="28" w:name="bookmark28"/>
      <w:bookmarkEnd w:id="28"/>
      <w:r>
        <w:t>考核评估</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将应急管理工作纳入企业绩效考核体系，对各部门和相关人员的应急处置工作进行考核评估。考核评估内容包括应急响应速度、处置效果、资源保障、协同配合等方面。根据考核评估结果，进行奖惩。</w:t>
      </w:r>
    </w:p>
    <w:p>
      <w:pPr>
        <w:pStyle w:val="2"/>
        <w:bidi w:val="0"/>
        <w:rPr>
          <w:rFonts w:hint="default"/>
          <w:lang w:val="en-US" w:eastAsia="zh-CN"/>
        </w:rPr>
      </w:pPr>
      <w:bookmarkStart w:id="29" w:name="_Toc26968"/>
      <w:r>
        <w:rPr>
          <w:rFonts w:hint="eastAsia"/>
          <w:lang w:val="en-US" w:eastAsia="zh-CN"/>
        </w:rPr>
        <w:t>考核指标</w:t>
      </w:r>
      <w:bookmarkEnd w:id="29"/>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20"/>
        <w:gridCol w:w="2980"/>
        <w:gridCol w:w="1583"/>
        <w:gridCol w:w="1583"/>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1720" w:type="dxa"/>
          </w:tcPr>
          <w:p>
            <w:pPr>
              <w:widowControl w:val="0"/>
              <w:jc w:val="center"/>
              <w:rPr>
                <w:rFonts w:ascii="宋体" w:eastAsia="宋体" w:hAnsi="宋体" w:cs="宋体" w:hint="default"/>
                <w:b/>
                <w:bCs/>
                <w:sz w:val="18"/>
                <w:szCs w:val="18"/>
                <w:lang w:val="en-US" w:eastAsia="zh-CN"/>
              </w:rPr>
            </w:pPr>
            <w:r>
              <w:rPr>
                <w:rFonts w:ascii="宋体" w:eastAsia="宋体" w:hAnsi="宋体" w:cs="宋体" w:hint="eastAsia"/>
                <w:b/>
                <w:bCs/>
                <w:sz w:val="18"/>
                <w:szCs w:val="18"/>
                <w:lang w:val="en-US" w:eastAsia="zh-CN"/>
              </w:rPr>
              <w:t>指标名称</w:t>
            </w:r>
          </w:p>
        </w:tc>
        <w:tc>
          <w:tcPr>
            <w:tcW w:w="2980" w:type="dxa"/>
          </w:tcPr>
          <w:p>
            <w:pPr>
              <w:widowControl w:val="0"/>
              <w:jc w:val="center"/>
              <w:rPr>
                <w:rFonts w:ascii="宋体" w:eastAsia="宋体" w:hAnsi="宋体" w:cs="宋体" w:hint="default"/>
                <w:b/>
                <w:bCs/>
                <w:sz w:val="18"/>
                <w:szCs w:val="18"/>
                <w:lang w:val="en-US" w:eastAsia="zh-CN"/>
              </w:rPr>
            </w:pPr>
            <w:r>
              <w:rPr>
                <w:rFonts w:ascii="宋体" w:eastAsia="宋体" w:hAnsi="宋体" w:cs="宋体" w:hint="eastAsia"/>
                <w:b/>
                <w:bCs/>
                <w:sz w:val="18"/>
                <w:szCs w:val="18"/>
                <w:lang w:val="en-US" w:eastAsia="zh-CN"/>
              </w:rPr>
              <w:t>指标计算方式</w:t>
            </w:r>
          </w:p>
        </w:tc>
        <w:tc>
          <w:tcPr>
            <w:tcW w:w="1583" w:type="dxa"/>
          </w:tcPr>
          <w:p>
            <w:pPr>
              <w:widowControl w:val="0"/>
              <w:jc w:val="center"/>
              <w:rPr>
                <w:rFonts w:ascii="宋体" w:eastAsia="宋体" w:hAnsi="宋体" w:cs="宋体" w:hint="default"/>
                <w:b/>
                <w:bCs/>
                <w:sz w:val="18"/>
                <w:szCs w:val="18"/>
                <w:lang w:val="en-US" w:eastAsia="zh-CN"/>
              </w:rPr>
            </w:pPr>
            <w:r>
              <w:rPr>
                <w:rFonts w:ascii="宋体" w:eastAsia="宋体" w:hAnsi="宋体" w:cs="宋体" w:hint="eastAsia"/>
                <w:b/>
                <w:bCs/>
                <w:sz w:val="18"/>
                <w:szCs w:val="18"/>
                <w:lang w:val="en-US" w:eastAsia="zh-CN"/>
              </w:rPr>
              <w:t>考核频次</w:t>
            </w:r>
          </w:p>
        </w:tc>
        <w:tc>
          <w:tcPr>
            <w:tcW w:w="1583" w:type="dxa"/>
          </w:tcPr>
          <w:p>
            <w:pPr>
              <w:widowControl w:val="0"/>
              <w:jc w:val="center"/>
              <w:rPr>
                <w:rFonts w:ascii="宋体" w:eastAsia="宋体" w:hAnsi="宋体" w:cs="宋体" w:hint="default"/>
                <w:b/>
                <w:bCs/>
                <w:sz w:val="18"/>
                <w:szCs w:val="18"/>
                <w:lang w:val="en-US" w:eastAsia="zh-CN"/>
              </w:rPr>
            </w:pPr>
            <w:r>
              <w:rPr>
                <w:rFonts w:ascii="宋体" w:eastAsia="宋体" w:hAnsi="宋体" w:cs="宋体" w:hint="eastAsia"/>
                <w:b/>
                <w:bCs/>
                <w:sz w:val="18"/>
                <w:szCs w:val="18"/>
                <w:lang w:val="en-US" w:eastAsia="zh-CN"/>
              </w:rPr>
              <w:t>目标值</w:t>
            </w:r>
          </w:p>
        </w:tc>
      </w:tr>
      <w:tr>
        <w:tblPrEx>
          <w:tblW w:w="0" w:type="auto"/>
          <w:jc w:val="center"/>
          <w:tblCellMar>
            <w:top w:w="0" w:type="dxa"/>
            <w:left w:w="108" w:type="dxa"/>
            <w:bottom w:w="0" w:type="dxa"/>
            <w:right w:w="108" w:type="dxa"/>
          </w:tblCellMar>
        </w:tblPrEx>
        <w:trPr>
          <w:trHeight w:val="710"/>
          <w:jc w:val="center"/>
        </w:trPr>
        <w:tc>
          <w:tcPr>
            <w:tcW w:w="1720" w:type="dxa"/>
            <w:shd w:val="clear" w:color="auto" w:fill="auto"/>
          </w:tcPr>
          <w:p>
            <w:pPr>
              <w:widowControl w:val="0"/>
              <w:rPr>
                <w:rFonts w:ascii="宋体" w:eastAsia="宋体" w:hAnsi="宋体" w:cs="宋体" w:hint="default"/>
                <w:snapToGrid w:val="0"/>
                <w:color w:val="000000"/>
                <w:kern w:val="0"/>
                <w:sz w:val="18"/>
                <w:szCs w:val="18"/>
                <w:lang w:val="en-US" w:eastAsia="zh-CN" w:bidi="ar-SA"/>
              </w:rPr>
            </w:pPr>
            <w:r>
              <w:rPr>
                <w:rFonts w:ascii="宋体" w:eastAsia="宋体" w:hAnsi="宋体" w:cs="宋体" w:hint="eastAsia"/>
                <w:sz w:val="18"/>
                <w:szCs w:val="18"/>
              </w:rPr>
              <w:t>应急预案的覆盖率</w:t>
            </w:r>
          </w:p>
        </w:tc>
        <w:tc>
          <w:tcPr>
            <w:tcW w:w="2980" w:type="dxa"/>
            <w:shd w:val="clear" w:color="auto" w:fill="auto"/>
          </w:tcPr>
          <w:p>
            <w:pPr>
              <w:widowControl w:val="0"/>
              <w:rPr>
                <w:rFonts w:ascii="宋体" w:eastAsia="宋体" w:hAnsi="宋体" w:cs="宋体" w:hint="default"/>
                <w:snapToGrid w:val="0"/>
                <w:color w:val="000000"/>
                <w:kern w:val="0"/>
                <w:sz w:val="18"/>
                <w:szCs w:val="18"/>
                <w:lang w:val="en-US" w:eastAsia="zh-CN" w:bidi="ar-SA"/>
              </w:rPr>
            </w:pPr>
            <w:r>
              <w:rPr>
                <w:rFonts w:ascii="宋体" w:eastAsia="宋体" w:hAnsi="宋体" w:cs="宋体" w:hint="eastAsia"/>
                <w:sz w:val="18"/>
                <w:szCs w:val="18"/>
              </w:rPr>
              <w:t>评审有效的应急预案数/已识别应急场景数*100%</w:t>
            </w:r>
          </w:p>
        </w:tc>
        <w:tc>
          <w:tcPr>
            <w:tcW w:w="1583" w:type="dxa"/>
            <w:shd w:val="clear" w:color="auto" w:fill="auto"/>
          </w:tcPr>
          <w:p>
            <w:pPr>
              <w:widowControl w:val="0"/>
              <w:rPr>
                <w:rFonts w:ascii="宋体" w:eastAsia="宋体" w:hAnsi="宋体" w:cs="宋体" w:hint="default"/>
                <w:snapToGrid w:val="0"/>
                <w:color w:val="000000"/>
                <w:kern w:val="0"/>
                <w:sz w:val="18"/>
                <w:szCs w:val="18"/>
                <w:lang w:val="en-US" w:eastAsia="zh-CN" w:bidi="ar-SA"/>
              </w:rPr>
            </w:pPr>
            <w:r>
              <w:rPr>
                <w:rFonts w:ascii="宋体" w:eastAsia="宋体" w:hAnsi="宋体" w:cs="宋体" w:hint="eastAsia"/>
                <w:sz w:val="18"/>
                <w:szCs w:val="18"/>
              </w:rPr>
              <w:t>每季度</w:t>
            </w:r>
          </w:p>
        </w:tc>
        <w:tc>
          <w:tcPr>
            <w:tcW w:w="1583" w:type="dxa"/>
            <w:shd w:val="clear" w:color="auto" w:fill="auto"/>
          </w:tcPr>
          <w:p>
            <w:pPr>
              <w:widowControl w:val="0"/>
              <w:rPr>
                <w:rFonts w:ascii="宋体" w:eastAsia="宋体" w:hAnsi="宋体" w:cs="宋体" w:hint="eastAsia"/>
                <w:snapToGrid w:val="0"/>
                <w:color w:val="000000"/>
                <w:kern w:val="0"/>
                <w:sz w:val="18"/>
                <w:szCs w:val="18"/>
                <w:lang w:val="en-US" w:eastAsia="zh-CN" w:bidi="ar-SA"/>
              </w:rPr>
            </w:pPr>
            <w:r>
              <w:rPr>
                <w:rFonts w:ascii="宋体" w:eastAsia="宋体" w:hAnsi="宋体" w:cs="宋体" w:hint="eastAsia"/>
                <w:sz w:val="18"/>
                <w:szCs w:val="18"/>
              </w:rPr>
              <w:t>≥90%</w:t>
            </w:r>
          </w:p>
        </w:tc>
      </w:tr>
      <w:tr>
        <w:tblPrEx>
          <w:tblW w:w="0" w:type="auto"/>
          <w:jc w:val="center"/>
          <w:tblCellMar>
            <w:top w:w="0" w:type="dxa"/>
            <w:left w:w="108" w:type="dxa"/>
            <w:bottom w:w="0" w:type="dxa"/>
            <w:right w:w="108" w:type="dxa"/>
          </w:tblCellMar>
        </w:tblPrEx>
        <w:trPr>
          <w:trHeight w:val="285"/>
          <w:jc w:val="center"/>
        </w:trPr>
        <w:tc>
          <w:tcPr>
            <w:tcW w:w="1720" w:type="dxa"/>
            <w:shd w:val="clear" w:color="auto" w:fill="auto"/>
          </w:tcPr>
          <w:p>
            <w:pPr>
              <w:widowControl w:val="0"/>
              <w:rPr>
                <w:rFonts w:ascii="宋体" w:eastAsia="宋体" w:hAnsi="宋体" w:cs="宋体" w:hint="default"/>
                <w:snapToGrid w:val="0"/>
                <w:color w:val="000000"/>
                <w:kern w:val="0"/>
                <w:sz w:val="18"/>
                <w:szCs w:val="18"/>
                <w:lang w:val="en-US" w:eastAsia="zh-CN" w:bidi="ar-SA"/>
              </w:rPr>
            </w:pPr>
            <w:bookmarkStart w:id="30" w:name="bookmark3"/>
            <w:bookmarkEnd w:id="30"/>
            <w:bookmarkStart w:id="31" w:name="_Toc17424"/>
            <w:r>
              <w:rPr>
                <w:rFonts w:ascii="宋体" w:eastAsia="宋体" w:hAnsi="宋体" w:cs="宋体" w:hint="eastAsia"/>
                <w:sz w:val="18"/>
                <w:szCs w:val="18"/>
              </w:rPr>
              <w:t>及时响应率</w:t>
            </w:r>
          </w:p>
        </w:tc>
        <w:tc>
          <w:tcPr>
            <w:tcW w:w="2980" w:type="dxa"/>
            <w:shd w:val="clear" w:color="auto" w:fill="auto"/>
          </w:tcPr>
          <w:p>
            <w:pPr>
              <w:widowControl w:val="0"/>
              <w:rPr>
                <w:rFonts w:ascii="宋体" w:eastAsia="宋体" w:hAnsi="宋体" w:cs="宋体" w:hint="default"/>
                <w:snapToGrid w:val="0"/>
                <w:color w:val="000000"/>
                <w:kern w:val="0"/>
                <w:sz w:val="18"/>
                <w:szCs w:val="18"/>
                <w:lang w:val="en-US" w:eastAsia="zh-CN" w:bidi="ar-SA"/>
              </w:rPr>
            </w:pPr>
            <w:r>
              <w:rPr>
                <w:rFonts w:ascii="宋体" w:eastAsia="宋体" w:hAnsi="宋体" w:cs="宋体" w:hint="eastAsia"/>
                <w:sz w:val="18"/>
                <w:szCs w:val="18"/>
              </w:rPr>
              <w:t>及时响应数量/总响应数量</w:t>
            </w:r>
            <w:r>
              <w:rPr>
                <w:rFonts w:ascii="宋体" w:eastAsia="宋体" w:hAnsi="宋体" w:cs="宋体" w:hint="eastAsia"/>
                <w:sz w:val="18"/>
                <w:szCs w:val="18"/>
                <w:lang w:eastAsia="zh-CN"/>
              </w:rPr>
              <w:t>*</w:t>
            </w:r>
            <w:r>
              <w:rPr>
                <w:rFonts w:ascii="宋体" w:eastAsia="宋体" w:hAnsi="宋体" w:cs="宋体" w:hint="eastAsia"/>
                <w:sz w:val="18"/>
                <w:szCs w:val="18"/>
              </w:rPr>
              <w:t>100%</w:t>
            </w:r>
          </w:p>
        </w:tc>
        <w:tc>
          <w:tcPr>
            <w:tcW w:w="0" w:type="auto"/>
            <w:shd w:val="clear" w:color="auto" w:fill="auto"/>
          </w:tcPr>
          <w:p>
            <w:pPr>
              <w:widowControl w:val="0"/>
              <w:rPr>
                <w:rFonts w:ascii="宋体" w:eastAsia="宋体" w:hAnsi="宋体" w:cs="宋体" w:hint="default"/>
                <w:snapToGrid w:val="0"/>
                <w:color w:val="000000"/>
                <w:kern w:val="0"/>
                <w:sz w:val="18"/>
                <w:szCs w:val="18"/>
                <w:lang w:val="en-US" w:eastAsia="zh-CN" w:bidi="ar-SA"/>
              </w:rPr>
            </w:pPr>
            <w:r>
              <w:rPr>
                <w:rFonts w:ascii="宋体" w:eastAsia="宋体" w:hAnsi="宋体" w:cs="宋体" w:hint="eastAsia"/>
                <w:sz w:val="18"/>
                <w:szCs w:val="18"/>
              </w:rPr>
              <w:t>每季度</w:t>
            </w:r>
          </w:p>
        </w:tc>
        <w:tc>
          <w:tcPr>
            <w:tcW w:w="0" w:type="auto"/>
            <w:shd w:val="clear" w:color="auto" w:fill="auto"/>
          </w:tcPr>
          <w:p>
            <w:pPr>
              <w:widowControl w:val="0"/>
              <w:rPr>
                <w:rFonts w:ascii="宋体" w:eastAsia="宋体" w:hAnsi="宋体" w:cs="宋体" w:hint="eastAsia"/>
                <w:snapToGrid w:val="0"/>
                <w:color w:val="000000"/>
                <w:kern w:val="0"/>
                <w:sz w:val="18"/>
                <w:szCs w:val="18"/>
                <w:lang w:val="en-US" w:eastAsia="zh-CN" w:bidi="ar-SA"/>
              </w:rPr>
            </w:pPr>
            <w:r>
              <w:rPr>
                <w:rFonts w:ascii="宋体" w:eastAsia="宋体" w:hAnsi="宋体" w:cs="宋体" w:hint="eastAsia"/>
                <w:sz w:val="18"/>
                <w:szCs w:val="18"/>
              </w:rPr>
              <w:t>100%</w:t>
            </w:r>
          </w:p>
        </w:tc>
      </w:tr>
    </w:tbl>
    <w:p>
      <w:pPr>
        <w:pStyle w:val="1"/>
        <w:bidi w:val="0"/>
        <w:rPr>
          <w:rStyle w:val="1Char"/>
          <w:rFonts w:eastAsia="宋体" w:hint="default"/>
          <w:lang w:val="en-US" w:eastAsia="zh-CN"/>
        </w:rPr>
      </w:pPr>
      <w:bookmarkStart w:id="32" w:name="_Toc23331"/>
      <w:r>
        <w:rPr>
          <w:rStyle w:val="1Char"/>
          <w:rFonts w:eastAsia="宋体" w:hint="eastAsia"/>
          <w:lang w:val="en-US" w:eastAsia="zh-CN"/>
        </w:rPr>
        <w:t>附则</w:t>
      </w:r>
      <w:bookmarkEnd w:id="31"/>
      <w:bookmarkEnd w:id="32"/>
    </w:p>
    <w:p>
      <w:pPr>
        <w:keepNext w:val="0"/>
        <w:keepLines w:val="0"/>
        <w:pageBreakBefore w:val="0"/>
        <w:widowControl/>
        <w:numPr>
          <w:ilvl w:val="0"/>
          <w:numId w:val="9"/>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eastAsia="宋体" w:hAnsi="宋体" w:cs="宋体" w:hint="eastAsia"/>
          <w:spacing w:val="-1"/>
          <w:sz w:val="24"/>
          <w:szCs w:val="24"/>
          <w:lang w:val="en-US" w:eastAsia="zh-CN"/>
        </w:rPr>
        <w:t>平台运维组</w:t>
      </w:r>
      <w:r>
        <w:rPr>
          <w:rFonts w:ascii="宋体" w:eastAsia="宋体" w:hAnsi="宋体" w:cs="宋体"/>
          <w:spacing w:val="-1"/>
          <w:sz w:val="24"/>
          <w:szCs w:val="24"/>
        </w:rPr>
        <w:t>。</w:t>
      </w:r>
    </w:p>
    <w:p>
      <w:pPr>
        <w:keepNext w:val="0"/>
        <w:keepLines w:val="0"/>
        <w:pageBreakBefore w:val="0"/>
        <w:widowControl/>
        <w:numPr>
          <w:ilvl w:val="0"/>
          <w:numId w:val="9"/>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bidi w:val="0"/>
        <w:rPr>
          <w:rFonts w:hint="default"/>
          <w:lang w:val="en-US" w:eastAsia="zh-CN"/>
        </w:rPr>
      </w:pPr>
      <w:bookmarkStart w:id="33" w:name="bookmark14"/>
      <w:bookmarkEnd w:id="33"/>
      <w:bookmarkStart w:id="34" w:name="_Toc26620"/>
      <w:r>
        <w:rPr>
          <w:rFonts w:hint="eastAsia"/>
          <w:lang w:val="en-US" w:eastAsia="zh-CN"/>
        </w:rPr>
        <w:t>附件</w:t>
      </w:r>
      <w:bookmarkEnd w:id="34"/>
    </w:p>
    <w:p>
      <w:pPr>
        <w:pStyle w:val="a1"/>
        <w:rPr>
          <w:rFonts w:hint="default"/>
          <w:lang w:val="en-US" w:eastAsia="zh-CN"/>
        </w:rPr>
      </w:pPr>
      <w:r>
        <w:rPr>
          <w:rFonts w:hint="eastAsia"/>
          <w:lang w:val="en-US" w:eastAsia="zh-CN"/>
        </w:rPr>
        <w:t>无</w:t>
      </w:r>
    </w:p>
    <w:p>
      <w:pPr>
        <w:pStyle w:val="1"/>
        <w:bidi w:val="0"/>
        <w:rPr>
          <w:rFonts w:hint="eastAsia"/>
          <w:lang w:val="en-US" w:eastAsia="zh-CN"/>
        </w:rPr>
      </w:pPr>
      <w:bookmarkStart w:id="35" w:name="_Toc1394"/>
      <w:r>
        <w:rPr>
          <w:rFonts w:hint="eastAsia"/>
          <w:lang w:val="en-US" w:eastAsia="zh-CN"/>
        </w:rPr>
        <w:t>记录</w:t>
      </w:r>
      <w:bookmarkEnd w:id="35"/>
    </w:p>
    <w:p>
      <w:pPr>
        <w:pStyle w:val="a1"/>
        <w:rPr>
          <w:rFonts w:hint="default"/>
          <w:lang w:val="en-US" w:eastAsia="zh-CN"/>
        </w:rPr>
      </w:pPr>
      <w:r>
        <w:rPr>
          <w:rFonts w:hint="eastAsia"/>
          <w:lang w:val="en-US" w:eastAsia="zh-CN"/>
        </w:rPr>
        <w:t>无</w:t>
      </w:r>
    </w:p>
    <w:sectPr>
      <w:headerReference w:type="default" r:id="rId5"/>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jc w:val="right"/>
      <w:rPr>
        <w:rFonts w:eastAsiaTheme="minorEastAsia" w:hint="eastAsia"/>
        <w:lang w:eastAsia="zh-CN"/>
      </w:rPr>
    </w:pPr>
    <w:r>
      <w:rPr>
        <w:rFonts w:eastAsiaTheme="minorEastAsia" w:hint="eastAsia"/>
        <w:lang w:eastAsia="zh-CN"/>
      </w:rPr>
      <w:t>青岛瑞源工程集团有限公司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92DD817C"/>
    <w:multiLevelType w:val="singleLevel"/>
    <w:tmpl w:val="92DD817C"/>
    <w:lvl w:ilvl="0">
      <w:start w:val="1"/>
      <w:numFmt w:val="decimal"/>
      <w:lvlText w:val="%1."/>
      <w:lvlJc w:val="left"/>
      <w:pPr>
        <w:ind w:left="425" w:hanging="425"/>
      </w:pPr>
      <w:rPr>
        <w:rFonts w:hint="default"/>
      </w:rPr>
    </w:lvl>
  </w:abstractNum>
  <w:abstractNum w:abstractNumId="2">
    <w:nsid w:val="C878FC8D"/>
    <w:multiLevelType w:val="singleLevel"/>
    <w:tmpl w:val="C878FC8D"/>
    <w:lvl w:ilvl="0">
      <w:start w:val="1"/>
      <w:numFmt w:val="decimal"/>
      <w:lvlText w:val="%1."/>
      <w:lvlJc w:val="left"/>
      <w:pPr>
        <w:ind w:left="425" w:hanging="425"/>
      </w:pPr>
      <w:rPr>
        <w:rFonts w:hint="default"/>
      </w:rPr>
    </w:lvl>
  </w:abstractNum>
  <w:abstractNum w:abstractNumId="3">
    <w:nsid w:val="CC0B1356"/>
    <w:multiLevelType w:val="singleLevel"/>
    <w:tmpl w:val="CC0B1356"/>
    <w:lvl w:ilvl="0">
      <w:start w:val="1"/>
      <w:numFmt w:val="decimal"/>
      <w:lvlText w:val="%1."/>
      <w:lvlJc w:val="left"/>
      <w:pPr>
        <w:ind w:left="425" w:hanging="425"/>
      </w:pPr>
      <w:rPr>
        <w:rFonts w:hint="default"/>
      </w:rPr>
    </w:lvl>
  </w:abstractNum>
  <w:abstractNum w:abstractNumId="4">
    <w:nsid w:val="D01B90C6"/>
    <w:multiLevelType w:val="singleLevel"/>
    <w:tmpl w:val="D01B90C6"/>
    <w:lvl w:ilvl="0">
      <w:start w:val="1"/>
      <w:numFmt w:val="decimal"/>
      <w:lvlText w:val="%1."/>
      <w:lvlJc w:val="left"/>
      <w:pPr>
        <w:ind w:left="425" w:hanging="425"/>
      </w:pPr>
      <w:rPr>
        <w:rFonts w:hint="default"/>
      </w:rPr>
    </w:lvl>
  </w:abstractNum>
  <w:abstractNum w:abstractNumId="5">
    <w:nsid w:val="F9539CF3"/>
    <w:multiLevelType w:val="singleLevel"/>
    <w:tmpl w:val="F9539CF3"/>
    <w:lvl w:ilvl="0">
      <w:start w:val="1"/>
      <w:numFmt w:val="decimal"/>
      <w:lvlText w:val="%1."/>
      <w:lvlJc w:val="left"/>
      <w:pPr>
        <w:ind w:left="425" w:hanging="425"/>
      </w:pPr>
      <w:rPr>
        <w:rFonts w:hint="default"/>
      </w:rPr>
    </w:lvl>
  </w:abstractNum>
  <w:abstractNum w:abstractNumId="6">
    <w:nsid w:val="2482352A"/>
    <w:multiLevelType w:val="singleLevel"/>
    <w:tmpl w:val="2482352A"/>
    <w:lvl w:ilvl="0">
      <w:start w:val="1"/>
      <w:numFmt w:val="decimal"/>
      <w:lvlText w:val="%1."/>
      <w:lvlJc w:val="left"/>
      <w:pPr>
        <w:ind w:left="425" w:hanging="425"/>
      </w:pPr>
      <w:rPr>
        <w:rFonts w:hint="default"/>
      </w:rPr>
    </w:lvl>
  </w:abstractNum>
  <w:abstractNum w:abstractNumId="7">
    <w:nsid w:val="4080F831"/>
    <w:multiLevelType w:val="singleLevel"/>
    <w:tmpl w:val="4080F831"/>
    <w:lvl w:ilvl="0">
      <w:start w:val="1"/>
      <w:numFmt w:val="decimal"/>
      <w:lvlText w:val="%1."/>
      <w:lvlJc w:val="left"/>
      <w:pPr>
        <w:ind w:left="425" w:hanging="425"/>
      </w:pPr>
      <w:rPr>
        <w:rFonts w:hint="default"/>
      </w:rPr>
    </w:lvl>
  </w:abstractNum>
  <w:abstractNum w:abstractNumId="8">
    <w:nsid w:val="5EEE15B2"/>
    <w:multiLevelType w:val="singleLevel"/>
    <w:tmpl w:val="5EEE15B2"/>
    <w:lvl w:ilvl="0">
      <w:start w:val="1"/>
      <w:numFmt w:val="decimal"/>
      <w:lvlText w:val="%1."/>
      <w:lvlJc w:val="left"/>
      <w:pPr>
        <w:ind w:left="425" w:hanging="425"/>
      </w:pPr>
      <w:rPr>
        <w:rFonts w:hint="default"/>
      </w:rPr>
    </w:lvl>
  </w:abstractNum>
  <w:num w:numId="1">
    <w:abstractNumId w:val="0"/>
  </w:num>
  <w:num w:numId="2">
    <w:abstractNumId w:val="4"/>
  </w:num>
  <w:num w:numId="3">
    <w:abstractNumId w:val="6"/>
  </w:num>
  <w:num w:numId="4">
    <w:abstractNumId w:val="7"/>
  </w:num>
  <w:num w:numId="5">
    <w:abstractNumId w:val="2"/>
  </w:num>
  <w:num w:numId="6">
    <w:abstractNumId w:val="1"/>
  </w:num>
  <w:num w:numId="7">
    <w:abstractNumId w:val="8"/>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Normal"/>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19</TotalTime>
  <Pages>10</Pages>
  <Words>3181</Words>
  <Characters>3303</Characters>
  <Application>Microsoft Office Word</Application>
  <DocSecurity>0</DocSecurity>
  <Lines>0</Lines>
  <Paragraphs>0</Paragraphs>
  <ScaleCrop>false</ScaleCrop>
  <Company/>
  <LinksUpToDate>false</LinksUpToDate>
  <CharactersWithSpaces>3382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2025-11-26T16:07:34Z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