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94734">
      <w:pPr>
        <w:keepNext w:val="0"/>
        <w:keepLines w:val="0"/>
        <w:pageBreakBefore w:val="0"/>
        <w:widowControl w:val="0"/>
        <w:wordWrap/>
        <w:overflowPunct/>
        <w:topLinePunct w:val="0"/>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10</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2</w:t>
      </w:r>
    </w:p>
    <w:p w14:paraId="59C2E956">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E29CE35">
      <w:pPr>
        <w:pStyle w:val="24"/>
        <w:keepNext w:val="0"/>
        <w:keepLines w:val="0"/>
        <w:pageBreakBefore w:val="0"/>
        <w:widowControl w:val="0"/>
        <w:wordWrap/>
        <w:overflowPunct/>
        <w:topLinePunct w:val="0"/>
        <w:bidi w:val="0"/>
      </w:pPr>
      <w:bookmarkStart w:id="0" w:name="_Toc20834"/>
      <w:bookmarkStart w:id="1" w:name="_Toc25067"/>
      <w:r>
        <w:rPr>
          <w:rFonts w:hint="eastAsia"/>
          <w:lang w:val="en-US" w:eastAsia="zh-CN"/>
        </w:rPr>
        <w:t>青岛瑞源工程集团有限公司</w:t>
      </w:r>
      <w:bookmarkEnd w:id="0"/>
      <w:bookmarkEnd w:id="1"/>
    </w:p>
    <w:p w14:paraId="46AF71D3">
      <w:pPr>
        <w:pStyle w:val="25"/>
        <w:keepNext w:val="0"/>
        <w:keepLines w:val="0"/>
        <w:pageBreakBefore w:val="0"/>
        <w:widowControl w:val="0"/>
        <w:wordWrap/>
        <w:overflowPunct/>
        <w:topLinePunct w:val="0"/>
        <w:bidi w:val="0"/>
        <w:rPr>
          <w:rFonts w:hint="default"/>
          <w:lang w:val="en-US"/>
        </w:rPr>
      </w:pPr>
      <w:bookmarkStart w:id="2" w:name="_Toc20245"/>
      <w:bookmarkStart w:id="3" w:name="_Toc21042"/>
      <w:r>
        <w:rPr>
          <w:rFonts w:hint="eastAsia"/>
          <w:lang w:val="en-US" w:eastAsia="zh-CN"/>
        </w:rPr>
        <w:t>烟台林海嵎峡田综合体智慧农业大数据平台建设项目-</w:t>
      </w:r>
      <w:bookmarkEnd w:id="2"/>
      <w:r>
        <w:rPr>
          <w:rFonts w:hint="eastAsia"/>
          <w:lang w:val="en-US" w:eastAsia="zh-CN"/>
        </w:rPr>
        <w:t>会议纪要</w:t>
      </w:r>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B3F8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2E6555B">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2A49AF25">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2025.05.10</w:t>
            </w:r>
          </w:p>
        </w:tc>
      </w:tr>
      <w:tr w14:paraId="657B1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3DE43C7">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宋振</w:t>
            </w:r>
          </w:p>
        </w:tc>
        <w:tc>
          <w:tcPr>
            <w:tcW w:w="4261" w:type="dxa"/>
            <w:shd w:val="clear" w:color="auto" w:fill="auto"/>
          </w:tcPr>
          <w:p w14:paraId="282A5A0B">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2025.05.10</w:t>
            </w:r>
          </w:p>
        </w:tc>
      </w:tr>
      <w:tr w14:paraId="1DC93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DEC131D">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62C309F2">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2025.05.10</w:t>
            </w:r>
          </w:p>
        </w:tc>
      </w:tr>
    </w:tbl>
    <w:p w14:paraId="7EDC164F">
      <w:pPr>
        <w:keepNext w:val="0"/>
        <w:keepLines w:val="0"/>
        <w:pageBreakBefore w:val="0"/>
        <w:widowControl w:val="0"/>
        <w:wordWrap/>
        <w:overflowPunct/>
        <w:topLinePunct w:val="0"/>
        <w:bidi w:val="0"/>
      </w:pPr>
      <w:r>
        <w:br w:type="page"/>
      </w:r>
    </w:p>
    <w:p w14:paraId="4D6AFCDE">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729D8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042077D">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4E9DBF8">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3088DDA">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2213392">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A9EAE91">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6649FB5D">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0CD278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8842121">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5</w:t>
            </w:r>
            <w:r>
              <w:rPr>
                <w:rFonts w:ascii="宋体" w:hAnsi="宋体" w:eastAsia="宋体" w:cs="宋体"/>
                <w:spacing w:val="3"/>
                <w:position w:val="1"/>
                <w:sz w:val="20"/>
                <w:szCs w:val="20"/>
              </w:rPr>
              <w:t>.10</w:t>
            </w:r>
          </w:p>
        </w:tc>
        <w:tc>
          <w:tcPr>
            <w:tcW w:w="919" w:type="dxa"/>
          </w:tcPr>
          <w:p w14:paraId="513F8673">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59AF973F">
            <w:pPr>
              <w:keepNext w:val="0"/>
              <w:keepLines w:val="0"/>
              <w:pageBreakBefore w:val="0"/>
              <w:widowControl w:val="0"/>
              <w:wordWrap/>
              <w:overflowPunct/>
              <w:topLinePunct w:val="0"/>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B3691DC">
            <w:pPr>
              <w:keepNext w:val="0"/>
              <w:keepLines w:val="0"/>
              <w:pageBreakBefore w:val="0"/>
              <w:widowControl w:val="0"/>
              <w:wordWrap/>
              <w:overflowPunct/>
              <w:topLinePunct w:val="0"/>
              <w:bidi w:val="0"/>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561761AB">
            <w:pPr>
              <w:keepNext w:val="0"/>
              <w:keepLines w:val="0"/>
              <w:pageBreakBefore w:val="0"/>
              <w:widowControl w:val="0"/>
              <w:wordWrap/>
              <w:overflowPunct/>
              <w:topLinePunct w:val="0"/>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宋振</w:t>
            </w:r>
          </w:p>
        </w:tc>
        <w:tc>
          <w:tcPr>
            <w:tcW w:w="1240" w:type="dxa"/>
          </w:tcPr>
          <w:p w14:paraId="4EF9C2A2">
            <w:pPr>
              <w:keepNext w:val="0"/>
              <w:keepLines w:val="0"/>
              <w:pageBreakBefore w:val="0"/>
              <w:widowControl w:val="0"/>
              <w:wordWrap/>
              <w:overflowPunct/>
              <w:topLinePunct w:val="0"/>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1B48BD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A8E5C66">
            <w:pPr>
              <w:pStyle w:val="27"/>
              <w:keepNext w:val="0"/>
              <w:keepLines w:val="0"/>
              <w:pageBreakBefore w:val="0"/>
              <w:widowControl w:val="0"/>
              <w:wordWrap/>
              <w:overflowPunct/>
              <w:topLinePunct w:val="0"/>
              <w:bidi w:val="0"/>
            </w:pPr>
          </w:p>
        </w:tc>
        <w:tc>
          <w:tcPr>
            <w:tcW w:w="919" w:type="dxa"/>
          </w:tcPr>
          <w:p w14:paraId="49810388">
            <w:pPr>
              <w:pStyle w:val="27"/>
              <w:keepNext w:val="0"/>
              <w:keepLines w:val="0"/>
              <w:pageBreakBefore w:val="0"/>
              <w:widowControl w:val="0"/>
              <w:wordWrap/>
              <w:overflowPunct/>
              <w:topLinePunct w:val="0"/>
              <w:bidi w:val="0"/>
            </w:pPr>
          </w:p>
        </w:tc>
        <w:tc>
          <w:tcPr>
            <w:tcW w:w="2289" w:type="dxa"/>
          </w:tcPr>
          <w:p w14:paraId="348AC705">
            <w:pPr>
              <w:pStyle w:val="27"/>
              <w:keepNext w:val="0"/>
              <w:keepLines w:val="0"/>
              <w:pageBreakBefore w:val="0"/>
              <w:widowControl w:val="0"/>
              <w:wordWrap/>
              <w:overflowPunct/>
              <w:topLinePunct w:val="0"/>
              <w:bidi w:val="0"/>
            </w:pPr>
          </w:p>
        </w:tc>
        <w:tc>
          <w:tcPr>
            <w:tcW w:w="1148" w:type="dxa"/>
          </w:tcPr>
          <w:p w14:paraId="4A206BA5">
            <w:pPr>
              <w:keepNext w:val="0"/>
              <w:keepLines w:val="0"/>
              <w:pageBreakBefore w:val="0"/>
              <w:widowControl w:val="0"/>
              <w:wordWrap/>
              <w:overflowPunct/>
              <w:topLinePunct w:val="0"/>
              <w:bidi w:val="0"/>
              <w:spacing w:before="172" w:line="228" w:lineRule="auto"/>
              <w:ind w:left="313"/>
            </w:pPr>
          </w:p>
        </w:tc>
        <w:tc>
          <w:tcPr>
            <w:tcW w:w="1150" w:type="dxa"/>
          </w:tcPr>
          <w:p w14:paraId="4FFD1CDE">
            <w:pPr>
              <w:keepNext w:val="0"/>
              <w:keepLines w:val="0"/>
              <w:pageBreakBefore w:val="0"/>
              <w:widowControl w:val="0"/>
              <w:wordWrap/>
              <w:overflowPunct/>
              <w:topLinePunct w:val="0"/>
              <w:bidi w:val="0"/>
              <w:spacing w:before="172" w:line="228" w:lineRule="auto"/>
              <w:ind w:left="313"/>
            </w:pPr>
          </w:p>
        </w:tc>
        <w:tc>
          <w:tcPr>
            <w:tcW w:w="1240" w:type="dxa"/>
          </w:tcPr>
          <w:p w14:paraId="6B0C3FCF">
            <w:pPr>
              <w:pStyle w:val="27"/>
              <w:keepNext w:val="0"/>
              <w:keepLines w:val="0"/>
              <w:pageBreakBefore w:val="0"/>
              <w:widowControl w:val="0"/>
              <w:wordWrap/>
              <w:overflowPunct/>
              <w:topLinePunct w:val="0"/>
              <w:bidi w:val="0"/>
            </w:pPr>
          </w:p>
        </w:tc>
      </w:tr>
      <w:tr w14:paraId="4EB92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AB08750">
            <w:pPr>
              <w:pStyle w:val="27"/>
              <w:keepNext w:val="0"/>
              <w:keepLines w:val="0"/>
              <w:pageBreakBefore w:val="0"/>
              <w:widowControl w:val="0"/>
              <w:wordWrap/>
              <w:overflowPunct/>
              <w:topLinePunct w:val="0"/>
              <w:bidi w:val="0"/>
            </w:pPr>
          </w:p>
        </w:tc>
        <w:tc>
          <w:tcPr>
            <w:tcW w:w="919" w:type="dxa"/>
          </w:tcPr>
          <w:p w14:paraId="6ABEB3B8">
            <w:pPr>
              <w:pStyle w:val="27"/>
              <w:keepNext w:val="0"/>
              <w:keepLines w:val="0"/>
              <w:pageBreakBefore w:val="0"/>
              <w:widowControl w:val="0"/>
              <w:wordWrap/>
              <w:overflowPunct/>
              <w:topLinePunct w:val="0"/>
              <w:bidi w:val="0"/>
            </w:pPr>
          </w:p>
        </w:tc>
        <w:tc>
          <w:tcPr>
            <w:tcW w:w="2289" w:type="dxa"/>
          </w:tcPr>
          <w:p w14:paraId="146D13D8">
            <w:pPr>
              <w:pStyle w:val="27"/>
              <w:keepNext w:val="0"/>
              <w:keepLines w:val="0"/>
              <w:pageBreakBefore w:val="0"/>
              <w:widowControl w:val="0"/>
              <w:wordWrap/>
              <w:overflowPunct/>
              <w:topLinePunct w:val="0"/>
              <w:bidi w:val="0"/>
            </w:pPr>
          </w:p>
        </w:tc>
        <w:tc>
          <w:tcPr>
            <w:tcW w:w="1148" w:type="dxa"/>
          </w:tcPr>
          <w:p w14:paraId="41E67249">
            <w:pPr>
              <w:keepNext w:val="0"/>
              <w:keepLines w:val="0"/>
              <w:pageBreakBefore w:val="0"/>
              <w:widowControl w:val="0"/>
              <w:wordWrap/>
              <w:overflowPunct/>
              <w:topLinePunct w:val="0"/>
              <w:bidi w:val="0"/>
              <w:spacing w:before="173" w:line="229" w:lineRule="auto"/>
              <w:ind w:left="314"/>
            </w:pPr>
          </w:p>
        </w:tc>
        <w:tc>
          <w:tcPr>
            <w:tcW w:w="1150" w:type="dxa"/>
          </w:tcPr>
          <w:p w14:paraId="49A7B52F">
            <w:pPr>
              <w:keepNext w:val="0"/>
              <w:keepLines w:val="0"/>
              <w:pageBreakBefore w:val="0"/>
              <w:widowControl w:val="0"/>
              <w:wordWrap/>
              <w:overflowPunct/>
              <w:topLinePunct w:val="0"/>
              <w:bidi w:val="0"/>
              <w:spacing w:before="173" w:line="229" w:lineRule="auto"/>
              <w:ind w:left="314"/>
            </w:pPr>
          </w:p>
        </w:tc>
        <w:tc>
          <w:tcPr>
            <w:tcW w:w="1240" w:type="dxa"/>
          </w:tcPr>
          <w:p w14:paraId="224B172A">
            <w:pPr>
              <w:pStyle w:val="27"/>
              <w:keepNext w:val="0"/>
              <w:keepLines w:val="0"/>
              <w:pageBreakBefore w:val="0"/>
              <w:widowControl w:val="0"/>
              <w:wordWrap/>
              <w:overflowPunct/>
              <w:topLinePunct w:val="0"/>
              <w:bidi w:val="0"/>
            </w:pPr>
          </w:p>
        </w:tc>
      </w:tr>
      <w:tr w14:paraId="1195B6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12A6ADD">
            <w:pPr>
              <w:pStyle w:val="27"/>
              <w:keepNext w:val="0"/>
              <w:keepLines w:val="0"/>
              <w:pageBreakBefore w:val="0"/>
              <w:widowControl w:val="0"/>
              <w:wordWrap/>
              <w:overflowPunct/>
              <w:topLinePunct w:val="0"/>
              <w:bidi w:val="0"/>
            </w:pPr>
          </w:p>
        </w:tc>
        <w:tc>
          <w:tcPr>
            <w:tcW w:w="919" w:type="dxa"/>
          </w:tcPr>
          <w:p w14:paraId="3C1BFBAC">
            <w:pPr>
              <w:pStyle w:val="27"/>
              <w:keepNext w:val="0"/>
              <w:keepLines w:val="0"/>
              <w:pageBreakBefore w:val="0"/>
              <w:widowControl w:val="0"/>
              <w:wordWrap/>
              <w:overflowPunct/>
              <w:topLinePunct w:val="0"/>
              <w:bidi w:val="0"/>
            </w:pPr>
          </w:p>
        </w:tc>
        <w:tc>
          <w:tcPr>
            <w:tcW w:w="2289" w:type="dxa"/>
          </w:tcPr>
          <w:p w14:paraId="354B76CA">
            <w:pPr>
              <w:pStyle w:val="27"/>
              <w:keepNext w:val="0"/>
              <w:keepLines w:val="0"/>
              <w:pageBreakBefore w:val="0"/>
              <w:widowControl w:val="0"/>
              <w:wordWrap/>
              <w:overflowPunct/>
              <w:topLinePunct w:val="0"/>
              <w:bidi w:val="0"/>
            </w:pPr>
          </w:p>
        </w:tc>
        <w:tc>
          <w:tcPr>
            <w:tcW w:w="1148" w:type="dxa"/>
          </w:tcPr>
          <w:p w14:paraId="3B0A7983">
            <w:pPr>
              <w:pStyle w:val="27"/>
              <w:keepNext w:val="0"/>
              <w:keepLines w:val="0"/>
              <w:pageBreakBefore w:val="0"/>
              <w:widowControl w:val="0"/>
              <w:wordWrap/>
              <w:overflowPunct/>
              <w:topLinePunct w:val="0"/>
              <w:bidi w:val="0"/>
            </w:pPr>
          </w:p>
        </w:tc>
        <w:tc>
          <w:tcPr>
            <w:tcW w:w="1150" w:type="dxa"/>
          </w:tcPr>
          <w:p w14:paraId="776FCE3E">
            <w:pPr>
              <w:pStyle w:val="27"/>
              <w:keepNext w:val="0"/>
              <w:keepLines w:val="0"/>
              <w:pageBreakBefore w:val="0"/>
              <w:widowControl w:val="0"/>
              <w:wordWrap/>
              <w:overflowPunct/>
              <w:topLinePunct w:val="0"/>
              <w:bidi w:val="0"/>
            </w:pPr>
          </w:p>
        </w:tc>
        <w:tc>
          <w:tcPr>
            <w:tcW w:w="1240" w:type="dxa"/>
          </w:tcPr>
          <w:p w14:paraId="5B7EC584">
            <w:pPr>
              <w:pStyle w:val="27"/>
              <w:keepNext w:val="0"/>
              <w:keepLines w:val="0"/>
              <w:pageBreakBefore w:val="0"/>
              <w:widowControl w:val="0"/>
              <w:wordWrap/>
              <w:overflowPunct/>
              <w:topLinePunct w:val="0"/>
              <w:bidi w:val="0"/>
            </w:pPr>
          </w:p>
        </w:tc>
      </w:tr>
      <w:tr w14:paraId="55C7F5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FFACFA">
            <w:pPr>
              <w:pStyle w:val="27"/>
              <w:keepNext w:val="0"/>
              <w:keepLines w:val="0"/>
              <w:pageBreakBefore w:val="0"/>
              <w:widowControl w:val="0"/>
              <w:wordWrap/>
              <w:overflowPunct/>
              <w:topLinePunct w:val="0"/>
              <w:bidi w:val="0"/>
            </w:pPr>
          </w:p>
        </w:tc>
        <w:tc>
          <w:tcPr>
            <w:tcW w:w="919" w:type="dxa"/>
          </w:tcPr>
          <w:p w14:paraId="57995E07">
            <w:pPr>
              <w:pStyle w:val="27"/>
              <w:keepNext w:val="0"/>
              <w:keepLines w:val="0"/>
              <w:pageBreakBefore w:val="0"/>
              <w:widowControl w:val="0"/>
              <w:wordWrap/>
              <w:overflowPunct/>
              <w:topLinePunct w:val="0"/>
              <w:bidi w:val="0"/>
            </w:pPr>
          </w:p>
        </w:tc>
        <w:tc>
          <w:tcPr>
            <w:tcW w:w="2289" w:type="dxa"/>
          </w:tcPr>
          <w:p w14:paraId="3581D3E3">
            <w:pPr>
              <w:pStyle w:val="27"/>
              <w:keepNext w:val="0"/>
              <w:keepLines w:val="0"/>
              <w:pageBreakBefore w:val="0"/>
              <w:widowControl w:val="0"/>
              <w:wordWrap/>
              <w:overflowPunct/>
              <w:topLinePunct w:val="0"/>
              <w:bidi w:val="0"/>
            </w:pPr>
          </w:p>
        </w:tc>
        <w:tc>
          <w:tcPr>
            <w:tcW w:w="1148" w:type="dxa"/>
          </w:tcPr>
          <w:p w14:paraId="202D5C35">
            <w:pPr>
              <w:pStyle w:val="27"/>
              <w:keepNext w:val="0"/>
              <w:keepLines w:val="0"/>
              <w:pageBreakBefore w:val="0"/>
              <w:widowControl w:val="0"/>
              <w:wordWrap/>
              <w:overflowPunct/>
              <w:topLinePunct w:val="0"/>
              <w:bidi w:val="0"/>
            </w:pPr>
          </w:p>
        </w:tc>
        <w:tc>
          <w:tcPr>
            <w:tcW w:w="1150" w:type="dxa"/>
          </w:tcPr>
          <w:p w14:paraId="15D94E24">
            <w:pPr>
              <w:pStyle w:val="27"/>
              <w:keepNext w:val="0"/>
              <w:keepLines w:val="0"/>
              <w:pageBreakBefore w:val="0"/>
              <w:widowControl w:val="0"/>
              <w:wordWrap/>
              <w:overflowPunct/>
              <w:topLinePunct w:val="0"/>
              <w:bidi w:val="0"/>
            </w:pPr>
          </w:p>
        </w:tc>
        <w:tc>
          <w:tcPr>
            <w:tcW w:w="1240" w:type="dxa"/>
          </w:tcPr>
          <w:p w14:paraId="7E766ACC">
            <w:pPr>
              <w:pStyle w:val="27"/>
              <w:keepNext w:val="0"/>
              <w:keepLines w:val="0"/>
              <w:pageBreakBefore w:val="0"/>
              <w:widowControl w:val="0"/>
              <w:wordWrap/>
              <w:overflowPunct/>
              <w:topLinePunct w:val="0"/>
              <w:bidi w:val="0"/>
            </w:pPr>
          </w:p>
        </w:tc>
      </w:tr>
      <w:tr w14:paraId="565159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120D90A">
            <w:pPr>
              <w:pStyle w:val="27"/>
              <w:keepNext w:val="0"/>
              <w:keepLines w:val="0"/>
              <w:pageBreakBefore w:val="0"/>
              <w:widowControl w:val="0"/>
              <w:wordWrap/>
              <w:overflowPunct/>
              <w:topLinePunct w:val="0"/>
              <w:bidi w:val="0"/>
            </w:pPr>
          </w:p>
        </w:tc>
        <w:tc>
          <w:tcPr>
            <w:tcW w:w="919" w:type="dxa"/>
          </w:tcPr>
          <w:p w14:paraId="3A0C478E">
            <w:pPr>
              <w:pStyle w:val="27"/>
              <w:keepNext w:val="0"/>
              <w:keepLines w:val="0"/>
              <w:pageBreakBefore w:val="0"/>
              <w:widowControl w:val="0"/>
              <w:wordWrap/>
              <w:overflowPunct/>
              <w:topLinePunct w:val="0"/>
              <w:bidi w:val="0"/>
            </w:pPr>
          </w:p>
        </w:tc>
        <w:tc>
          <w:tcPr>
            <w:tcW w:w="2289" w:type="dxa"/>
          </w:tcPr>
          <w:p w14:paraId="7BDA32DE">
            <w:pPr>
              <w:pStyle w:val="27"/>
              <w:keepNext w:val="0"/>
              <w:keepLines w:val="0"/>
              <w:pageBreakBefore w:val="0"/>
              <w:widowControl w:val="0"/>
              <w:wordWrap/>
              <w:overflowPunct/>
              <w:topLinePunct w:val="0"/>
              <w:bidi w:val="0"/>
            </w:pPr>
          </w:p>
        </w:tc>
        <w:tc>
          <w:tcPr>
            <w:tcW w:w="1148" w:type="dxa"/>
          </w:tcPr>
          <w:p w14:paraId="7EA034DE">
            <w:pPr>
              <w:pStyle w:val="27"/>
              <w:keepNext w:val="0"/>
              <w:keepLines w:val="0"/>
              <w:pageBreakBefore w:val="0"/>
              <w:widowControl w:val="0"/>
              <w:wordWrap/>
              <w:overflowPunct/>
              <w:topLinePunct w:val="0"/>
              <w:bidi w:val="0"/>
            </w:pPr>
          </w:p>
        </w:tc>
        <w:tc>
          <w:tcPr>
            <w:tcW w:w="1150" w:type="dxa"/>
          </w:tcPr>
          <w:p w14:paraId="026A3BEA">
            <w:pPr>
              <w:pStyle w:val="27"/>
              <w:keepNext w:val="0"/>
              <w:keepLines w:val="0"/>
              <w:pageBreakBefore w:val="0"/>
              <w:widowControl w:val="0"/>
              <w:wordWrap/>
              <w:overflowPunct/>
              <w:topLinePunct w:val="0"/>
              <w:bidi w:val="0"/>
            </w:pPr>
          </w:p>
        </w:tc>
        <w:tc>
          <w:tcPr>
            <w:tcW w:w="1240" w:type="dxa"/>
          </w:tcPr>
          <w:p w14:paraId="21963CDB">
            <w:pPr>
              <w:pStyle w:val="27"/>
              <w:keepNext w:val="0"/>
              <w:keepLines w:val="0"/>
              <w:pageBreakBefore w:val="0"/>
              <w:widowControl w:val="0"/>
              <w:wordWrap/>
              <w:overflowPunct/>
              <w:topLinePunct w:val="0"/>
              <w:bidi w:val="0"/>
            </w:pPr>
          </w:p>
        </w:tc>
      </w:tr>
    </w:tbl>
    <w:p w14:paraId="18ADB9E4">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DF7BB2D">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2F2BC1D">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p>
        <w:p w14:paraId="2E838221">
          <w:pPr>
            <w:pStyle w:val="16"/>
            <w:tabs>
              <w:tab w:val="right" w:leader="dot" w:pos="8306"/>
            </w:tabs>
          </w:pPr>
          <w:bookmarkStart w:id="20" w:name="_GoBack"/>
          <w:bookmarkEnd w:id="20"/>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_Toc25067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_Toc25067 \h </w:instrText>
          </w:r>
          <w:r>
            <w:fldChar w:fldCharType="separate"/>
          </w:r>
          <w:r>
            <w:t>1</w:t>
          </w:r>
          <w:r>
            <w:fldChar w:fldCharType="end"/>
          </w:r>
          <w:r>
            <w:rPr>
              <w:rFonts w:hint="eastAsia" w:ascii="宋体" w:hAnsi="宋体" w:eastAsia="宋体" w:cs="宋体"/>
              <w:szCs w:val="24"/>
            </w:rPr>
            <w:fldChar w:fldCharType="end"/>
          </w:r>
        </w:p>
        <w:p w14:paraId="5EC9307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_Toc21042 </w:instrText>
          </w:r>
          <w:r>
            <w:rPr>
              <w:rFonts w:hint="eastAsia" w:ascii="宋体" w:hAnsi="宋体" w:eastAsia="宋体" w:cs="宋体"/>
              <w:szCs w:val="24"/>
            </w:rPr>
            <w:fldChar w:fldCharType="separate"/>
          </w:r>
          <w:r>
            <w:rPr>
              <w:rFonts w:hint="eastAsia"/>
              <w:lang w:val="en-US" w:eastAsia="zh-CN"/>
            </w:rPr>
            <w:t>烟台林海嵎峡田综合体智慧农业大数据平台建设项目-会议纪要</w:t>
          </w:r>
          <w:r>
            <w:tab/>
          </w:r>
          <w:r>
            <w:fldChar w:fldCharType="begin"/>
          </w:r>
          <w:r>
            <w:instrText xml:space="preserve"> PAGEREF _Toc21042 \h </w:instrText>
          </w:r>
          <w:r>
            <w:fldChar w:fldCharType="separate"/>
          </w:r>
          <w:r>
            <w:t>1</w:t>
          </w:r>
          <w:r>
            <w:fldChar w:fldCharType="end"/>
          </w:r>
          <w:r>
            <w:rPr>
              <w:rFonts w:hint="eastAsia" w:ascii="宋体" w:hAnsi="宋体" w:eastAsia="宋体" w:cs="宋体"/>
              <w:szCs w:val="24"/>
            </w:rPr>
            <w:fldChar w:fldCharType="end"/>
          </w:r>
        </w:p>
        <w:p w14:paraId="790F670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_Toc21539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会议概述</w:t>
          </w:r>
          <w:r>
            <w:tab/>
          </w:r>
          <w:r>
            <w:fldChar w:fldCharType="begin"/>
          </w:r>
          <w:r>
            <w:instrText xml:space="preserve"> PAGEREF _Toc21539 \h </w:instrText>
          </w:r>
          <w:r>
            <w:fldChar w:fldCharType="separate"/>
          </w:r>
          <w:r>
            <w:t>4</w:t>
          </w:r>
          <w:r>
            <w:fldChar w:fldCharType="end"/>
          </w:r>
          <w:r>
            <w:rPr>
              <w:rFonts w:hint="eastAsia" w:ascii="宋体" w:hAnsi="宋体" w:eastAsia="宋体" w:cs="宋体"/>
              <w:szCs w:val="24"/>
            </w:rPr>
            <w:fldChar w:fldCharType="end"/>
          </w:r>
        </w:p>
        <w:p w14:paraId="554353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_Toc12782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会议基本信息</w:t>
          </w:r>
          <w:r>
            <w:tab/>
          </w:r>
          <w:r>
            <w:fldChar w:fldCharType="begin"/>
          </w:r>
          <w:r>
            <w:instrText xml:space="preserve"> PAGEREF _Toc12782 \h </w:instrText>
          </w:r>
          <w:r>
            <w:fldChar w:fldCharType="separate"/>
          </w:r>
          <w:r>
            <w:t>4</w:t>
          </w:r>
          <w:r>
            <w:fldChar w:fldCharType="end"/>
          </w:r>
          <w:r>
            <w:rPr>
              <w:rFonts w:hint="eastAsia" w:ascii="宋体" w:hAnsi="宋体" w:eastAsia="宋体" w:cs="宋体"/>
              <w:szCs w:val="24"/>
            </w:rPr>
            <w:fldChar w:fldCharType="end"/>
          </w:r>
        </w:p>
        <w:p w14:paraId="2E1112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_Toc6630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参会人员</w:t>
          </w:r>
          <w:r>
            <w:tab/>
          </w:r>
          <w:r>
            <w:fldChar w:fldCharType="begin"/>
          </w:r>
          <w:r>
            <w:instrText xml:space="preserve"> PAGEREF _Toc6630 \h </w:instrText>
          </w:r>
          <w:r>
            <w:fldChar w:fldCharType="separate"/>
          </w:r>
          <w:r>
            <w:t>4</w:t>
          </w:r>
          <w:r>
            <w:fldChar w:fldCharType="end"/>
          </w:r>
          <w:r>
            <w:rPr>
              <w:rFonts w:hint="eastAsia" w:ascii="宋体" w:hAnsi="宋体" w:eastAsia="宋体" w:cs="宋体"/>
              <w:szCs w:val="24"/>
            </w:rPr>
            <w:fldChar w:fldCharType="end"/>
          </w:r>
        </w:p>
        <w:p w14:paraId="197EA9C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_Toc6503 </w:instrText>
          </w:r>
          <w:r>
            <w:rPr>
              <w:rFonts w:hint="eastAsia" w:ascii="宋体" w:hAnsi="宋体" w:eastAsia="宋体" w:cs="宋体"/>
              <w:szCs w:val="24"/>
            </w:rPr>
            <w:fldChar w:fldCharType="separate"/>
          </w:r>
          <w:r>
            <w:rPr>
              <w:rFonts w:hint="default"/>
              <w:lang w:val="en-US" w:eastAsia="zh-CN"/>
            </w:rPr>
            <w:t>2. 会议议程</w:t>
          </w:r>
          <w:r>
            <w:tab/>
          </w:r>
          <w:r>
            <w:fldChar w:fldCharType="begin"/>
          </w:r>
          <w:r>
            <w:instrText xml:space="preserve"> PAGEREF _Toc6503 \h </w:instrText>
          </w:r>
          <w:r>
            <w:fldChar w:fldCharType="separate"/>
          </w:r>
          <w:r>
            <w:t>4</w:t>
          </w:r>
          <w:r>
            <w:fldChar w:fldCharType="end"/>
          </w:r>
          <w:r>
            <w:rPr>
              <w:rFonts w:hint="eastAsia" w:ascii="宋体" w:hAnsi="宋体" w:eastAsia="宋体" w:cs="宋体"/>
              <w:szCs w:val="24"/>
            </w:rPr>
            <w:fldChar w:fldCharType="end"/>
          </w:r>
        </w:p>
        <w:p w14:paraId="6BAAD64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_Toc604 </w:instrText>
          </w:r>
          <w:r>
            <w:rPr>
              <w:rFonts w:hint="eastAsia" w:ascii="宋体" w:hAnsi="宋体" w:eastAsia="宋体" w:cs="宋体"/>
              <w:szCs w:val="24"/>
            </w:rPr>
            <w:fldChar w:fldCharType="separate"/>
          </w:r>
          <w:r>
            <w:rPr>
              <w:rFonts w:hint="default"/>
              <w:lang w:val="en-US" w:eastAsia="zh-CN"/>
            </w:rPr>
            <w:t>3. 会议主要内容与决议</w:t>
          </w:r>
          <w:r>
            <w:tab/>
          </w:r>
          <w:r>
            <w:fldChar w:fldCharType="begin"/>
          </w:r>
          <w:r>
            <w:instrText xml:space="preserve"> PAGEREF _Toc604 \h </w:instrText>
          </w:r>
          <w:r>
            <w:fldChar w:fldCharType="separate"/>
          </w:r>
          <w:r>
            <w:t>4</w:t>
          </w:r>
          <w:r>
            <w:fldChar w:fldCharType="end"/>
          </w:r>
          <w:r>
            <w:rPr>
              <w:rFonts w:hint="eastAsia" w:ascii="宋体" w:hAnsi="宋体" w:eastAsia="宋体" w:cs="宋体"/>
              <w:szCs w:val="24"/>
            </w:rPr>
            <w:fldChar w:fldCharType="end"/>
          </w:r>
        </w:p>
        <w:p w14:paraId="4BD69D7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_Toc10241 </w:instrText>
          </w:r>
          <w:r>
            <w:rPr>
              <w:rFonts w:hint="eastAsia" w:ascii="宋体" w:hAnsi="宋体" w:eastAsia="宋体" w:cs="宋体"/>
              <w:szCs w:val="24"/>
            </w:rPr>
            <w:fldChar w:fldCharType="separate"/>
          </w:r>
          <w:r>
            <w:rPr>
              <w:rFonts w:hint="default"/>
              <w:lang w:val="en-US" w:eastAsia="zh-CN"/>
            </w:rPr>
            <w:t>3.1. 项目正式启动与工期确认</w:t>
          </w:r>
          <w:r>
            <w:tab/>
          </w:r>
          <w:r>
            <w:fldChar w:fldCharType="begin"/>
          </w:r>
          <w:r>
            <w:instrText xml:space="preserve"> PAGEREF _Toc10241 \h </w:instrText>
          </w:r>
          <w:r>
            <w:fldChar w:fldCharType="separate"/>
          </w:r>
          <w:r>
            <w:t>5</w:t>
          </w:r>
          <w:r>
            <w:fldChar w:fldCharType="end"/>
          </w:r>
          <w:r>
            <w:rPr>
              <w:rFonts w:hint="eastAsia" w:ascii="宋体" w:hAnsi="宋体" w:eastAsia="宋体" w:cs="宋体"/>
              <w:szCs w:val="24"/>
            </w:rPr>
            <w:fldChar w:fldCharType="end"/>
          </w:r>
        </w:p>
        <w:p w14:paraId="2566E9A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_Toc4275 </w:instrText>
          </w:r>
          <w:r>
            <w:rPr>
              <w:rFonts w:hint="eastAsia" w:ascii="宋体" w:hAnsi="宋体" w:eastAsia="宋体" w:cs="宋体"/>
              <w:szCs w:val="24"/>
            </w:rPr>
            <w:fldChar w:fldCharType="separate"/>
          </w:r>
          <w:r>
            <w:rPr>
              <w:rFonts w:hint="default"/>
              <w:lang w:val="en-US" w:eastAsia="zh-CN"/>
            </w:rPr>
            <w:t>3.2. 组织架构与沟通机制</w:t>
          </w:r>
          <w:r>
            <w:tab/>
          </w:r>
          <w:r>
            <w:fldChar w:fldCharType="begin"/>
          </w:r>
          <w:r>
            <w:instrText xml:space="preserve"> PAGEREF _Toc4275 \h </w:instrText>
          </w:r>
          <w:r>
            <w:fldChar w:fldCharType="separate"/>
          </w:r>
          <w:r>
            <w:t>5</w:t>
          </w:r>
          <w:r>
            <w:fldChar w:fldCharType="end"/>
          </w:r>
          <w:r>
            <w:rPr>
              <w:rFonts w:hint="eastAsia" w:ascii="宋体" w:hAnsi="宋体" w:eastAsia="宋体" w:cs="宋体"/>
              <w:szCs w:val="24"/>
            </w:rPr>
            <w:fldChar w:fldCharType="end"/>
          </w:r>
        </w:p>
        <w:p w14:paraId="038C27C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_Toc6186 </w:instrText>
          </w:r>
          <w:r>
            <w:rPr>
              <w:rFonts w:hint="eastAsia" w:ascii="宋体" w:hAnsi="宋体" w:eastAsia="宋体" w:cs="宋体"/>
              <w:szCs w:val="24"/>
            </w:rPr>
            <w:fldChar w:fldCharType="separate"/>
          </w:r>
          <w:r>
            <w:rPr>
              <w:rFonts w:hint="default"/>
              <w:lang w:val="en-US" w:eastAsia="zh-CN"/>
            </w:rPr>
            <w:t>3.3. 应急预案审议与确认</w:t>
          </w:r>
          <w:r>
            <w:tab/>
          </w:r>
          <w:r>
            <w:fldChar w:fldCharType="begin"/>
          </w:r>
          <w:r>
            <w:instrText xml:space="preserve"> PAGEREF _Toc6186 \h </w:instrText>
          </w:r>
          <w:r>
            <w:fldChar w:fldCharType="separate"/>
          </w:r>
          <w:r>
            <w:t>5</w:t>
          </w:r>
          <w:r>
            <w:fldChar w:fldCharType="end"/>
          </w:r>
          <w:r>
            <w:rPr>
              <w:rFonts w:hint="eastAsia" w:ascii="宋体" w:hAnsi="宋体" w:eastAsia="宋体" w:cs="宋体"/>
              <w:szCs w:val="24"/>
            </w:rPr>
            <w:fldChar w:fldCharType="end"/>
          </w:r>
        </w:p>
        <w:p w14:paraId="3A501D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_Toc4558 </w:instrText>
          </w:r>
          <w:r>
            <w:rPr>
              <w:rFonts w:hint="eastAsia" w:ascii="宋体" w:hAnsi="宋体" w:eastAsia="宋体" w:cs="宋体"/>
              <w:szCs w:val="24"/>
            </w:rPr>
            <w:fldChar w:fldCharType="separate"/>
          </w:r>
          <w:r>
            <w:rPr>
              <w:rFonts w:hint="default"/>
              <w:lang w:val="en-US" w:eastAsia="zh-CN"/>
            </w:rPr>
            <w:t>3.4. 前期工作部署</w:t>
          </w:r>
          <w:r>
            <w:tab/>
          </w:r>
          <w:r>
            <w:fldChar w:fldCharType="begin"/>
          </w:r>
          <w:r>
            <w:instrText xml:space="preserve"> PAGEREF _Toc4558 \h </w:instrText>
          </w:r>
          <w:r>
            <w:fldChar w:fldCharType="separate"/>
          </w:r>
          <w:r>
            <w:t>5</w:t>
          </w:r>
          <w:r>
            <w:fldChar w:fldCharType="end"/>
          </w:r>
          <w:r>
            <w:rPr>
              <w:rFonts w:hint="eastAsia" w:ascii="宋体" w:hAnsi="宋体" w:eastAsia="宋体" w:cs="宋体"/>
              <w:szCs w:val="24"/>
            </w:rPr>
            <w:fldChar w:fldCharType="end"/>
          </w:r>
        </w:p>
        <w:p w14:paraId="1014DA4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_Toc14010 </w:instrText>
          </w:r>
          <w:r>
            <w:rPr>
              <w:rFonts w:hint="eastAsia" w:ascii="宋体" w:hAnsi="宋体" w:eastAsia="宋体" w:cs="宋体"/>
              <w:szCs w:val="24"/>
            </w:rPr>
            <w:fldChar w:fldCharType="separate"/>
          </w:r>
          <w:r>
            <w:rPr>
              <w:rFonts w:hint="default"/>
              <w:lang w:val="en-US" w:eastAsia="zh-CN"/>
            </w:rPr>
            <w:t>3.4.1. 物料采购</w:t>
          </w:r>
          <w:r>
            <w:tab/>
          </w:r>
          <w:r>
            <w:fldChar w:fldCharType="begin"/>
          </w:r>
          <w:r>
            <w:instrText xml:space="preserve"> PAGEREF _Toc14010 \h </w:instrText>
          </w:r>
          <w:r>
            <w:fldChar w:fldCharType="separate"/>
          </w:r>
          <w:r>
            <w:t>5</w:t>
          </w:r>
          <w:r>
            <w:fldChar w:fldCharType="end"/>
          </w:r>
          <w:r>
            <w:rPr>
              <w:rFonts w:hint="eastAsia" w:ascii="宋体" w:hAnsi="宋体" w:eastAsia="宋体" w:cs="宋体"/>
              <w:szCs w:val="24"/>
            </w:rPr>
            <w:fldChar w:fldCharType="end"/>
          </w:r>
        </w:p>
        <w:p w14:paraId="0BE3D73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_Toc3227 </w:instrText>
          </w:r>
          <w:r>
            <w:rPr>
              <w:rFonts w:hint="eastAsia" w:ascii="宋体" w:hAnsi="宋体" w:eastAsia="宋体" w:cs="宋体"/>
              <w:szCs w:val="24"/>
            </w:rPr>
            <w:fldChar w:fldCharType="separate"/>
          </w:r>
          <w:r>
            <w:rPr>
              <w:rFonts w:hint="default"/>
              <w:lang w:val="en-US" w:eastAsia="zh-CN"/>
            </w:rPr>
            <w:t>3.4.2. 技术准备</w:t>
          </w:r>
          <w:r>
            <w:tab/>
          </w:r>
          <w:r>
            <w:fldChar w:fldCharType="begin"/>
          </w:r>
          <w:r>
            <w:instrText xml:space="preserve"> PAGEREF _Toc3227 \h </w:instrText>
          </w:r>
          <w:r>
            <w:fldChar w:fldCharType="separate"/>
          </w:r>
          <w:r>
            <w:t>6</w:t>
          </w:r>
          <w:r>
            <w:fldChar w:fldCharType="end"/>
          </w:r>
          <w:r>
            <w:rPr>
              <w:rFonts w:hint="eastAsia" w:ascii="宋体" w:hAnsi="宋体" w:eastAsia="宋体" w:cs="宋体"/>
              <w:szCs w:val="24"/>
            </w:rPr>
            <w:fldChar w:fldCharType="end"/>
          </w:r>
        </w:p>
        <w:p w14:paraId="4F74008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_Toc3704 </w:instrText>
          </w:r>
          <w:r>
            <w:rPr>
              <w:rFonts w:hint="eastAsia" w:ascii="宋体" w:hAnsi="宋体" w:eastAsia="宋体" w:cs="宋体"/>
              <w:szCs w:val="24"/>
            </w:rPr>
            <w:fldChar w:fldCharType="separate"/>
          </w:r>
          <w:r>
            <w:rPr>
              <w:rFonts w:hint="default"/>
              <w:lang w:val="en-US" w:eastAsia="zh-CN"/>
            </w:rPr>
            <w:t>3.4.3. 现场勘查</w:t>
          </w:r>
          <w:r>
            <w:tab/>
          </w:r>
          <w:r>
            <w:fldChar w:fldCharType="begin"/>
          </w:r>
          <w:r>
            <w:instrText xml:space="preserve"> PAGEREF _Toc3704 \h </w:instrText>
          </w:r>
          <w:r>
            <w:fldChar w:fldCharType="separate"/>
          </w:r>
          <w:r>
            <w:t>6</w:t>
          </w:r>
          <w:r>
            <w:fldChar w:fldCharType="end"/>
          </w:r>
          <w:r>
            <w:rPr>
              <w:rFonts w:hint="eastAsia" w:ascii="宋体" w:hAnsi="宋体" w:eastAsia="宋体" w:cs="宋体"/>
              <w:szCs w:val="24"/>
            </w:rPr>
            <w:fldChar w:fldCharType="end"/>
          </w:r>
        </w:p>
        <w:p w14:paraId="18358D3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_Toc18963 </w:instrText>
          </w:r>
          <w:r>
            <w:rPr>
              <w:rFonts w:hint="eastAsia" w:ascii="宋体" w:hAnsi="宋体" w:eastAsia="宋体" w:cs="宋体"/>
              <w:szCs w:val="24"/>
            </w:rPr>
            <w:fldChar w:fldCharType="separate"/>
          </w:r>
          <w:r>
            <w:rPr>
              <w:rFonts w:hint="default"/>
              <w:lang w:val="en-US" w:eastAsia="zh-CN"/>
            </w:rPr>
            <w:t>3.4.4. 决议</w:t>
          </w:r>
          <w:r>
            <w:tab/>
          </w:r>
          <w:r>
            <w:fldChar w:fldCharType="begin"/>
          </w:r>
          <w:r>
            <w:instrText xml:space="preserve"> PAGEREF _Toc18963 \h </w:instrText>
          </w:r>
          <w:r>
            <w:fldChar w:fldCharType="separate"/>
          </w:r>
          <w:r>
            <w:t>6</w:t>
          </w:r>
          <w:r>
            <w:fldChar w:fldCharType="end"/>
          </w:r>
          <w:r>
            <w:rPr>
              <w:rFonts w:hint="eastAsia" w:ascii="宋体" w:hAnsi="宋体" w:eastAsia="宋体" w:cs="宋体"/>
              <w:szCs w:val="24"/>
            </w:rPr>
            <w:fldChar w:fldCharType="end"/>
          </w:r>
        </w:p>
        <w:p w14:paraId="1D2C63D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_Toc12444 </w:instrText>
          </w:r>
          <w:r>
            <w:rPr>
              <w:rFonts w:hint="eastAsia" w:ascii="宋体" w:hAnsi="宋体" w:eastAsia="宋体" w:cs="宋体"/>
              <w:szCs w:val="24"/>
            </w:rPr>
            <w:fldChar w:fldCharType="separate"/>
          </w:r>
          <w:r>
            <w:rPr>
              <w:rFonts w:hint="default"/>
              <w:lang w:val="en-US" w:eastAsia="zh-CN"/>
            </w:rPr>
            <w:t>3.5. 合同关键条款重申</w:t>
          </w:r>
          <w:r>
            <w:tab/>
          </w:r>
          <w:r>
            <w:fldChar w:fldCharType="begin"/>
          </w:r>
          <w:r>
            <w:instrText xml:space="preserve"> PAGEREF _Toc12444 \h </w:instrText>
          </w:r>
          <w:r>
            <w:fldChar w:fldCharType="separate"/>
          </w:r>
          <w:r>
            <w:t>6</w:t>
          </w:r>
          <w:r>
            <w:fldChar w:fldCharType="end"/>
          </w:r>
          <w:r>
            <w:rPr>
              <w:rFonts w:hint="eastAsia" w:ascii="宋体" w:hAnsi="宋体" w:eastAsia="宋体" w:cs="宋体"/>
              <w:szCs w:val="24"/>
            </w:rPr>
            <w:fldChar w:fldCharType="end"/>
          </w:r>
        </w:p>
        <w:p w14:paraId="3C08E80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_Toc23079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会议决议行动项</w:t>
          </w:r>
          <w:r>
            <w:tab/>
          </w:r>
          <w:r>
            <w:fldChar w:fldCharType="begin"/>
          </w:r>
          <w:r>
            <w:instrText xml:space="preserve"> PAGEREF _Toc23079 \h </w:instrText>
          </w:r>
          <w:r>
            <w:fldChar w:fldCharType="separate"/>
          </w:r>
          <w:r>
            <w:t>6</w:t>
          </w:r>
          <w:r>
            <w:fldChar w:fldCharType="end"/>
          </w:r>
          <w:r>
            <w:rPr>
              <w:rFonts w:hint="eastAsia" w:ascii="宋体" w:hAnsi="宋体" w:eastAsia="宋体" w:cs="宋体"/>
              <w:szCs w:val="24"/>
            </w:rPr>
            <w:fldChar w:fldCharType="end"/>
          </w:r>
        </w:p>
        <w:p w14:paraId="318CEF9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_Toc2690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下次会议安排</w:t>
          </w:r>
          <w:r>
            <w:tab/>
          </w:r>
          <w:r>
            <w:fldChar w:fldCharType="begin"/>
          </w:r>
          <w:r>
            <w:instrText xml:space="preserve"> PAGEREF _Toc2690 \h </w:instrText>
          </w:r>
          <w:r>
            <w:fldChar w:fldCharType="separate"/>
          </w:r>
          <w:r>
            <w:t>7</w:t>
          </w:r>
          <w:r>
            <w:fldChar w:fldCharType="end"/>
          </w:r>
          <w:r>
            <w:rPr>
              <w:rFonts w:hint="eastAsia" w:ascii="宋体" w:hAnsi="宋体" w:eastAsia="宋体" w:cs="宋体"/>
              <w:szCs w:val="24"/>
            </w:rPr>
            <w:fldChar w:fldCharType="end"/>
          </w:r>
        </w:p>
        <w:p w14:paraId="461AC6FA">
          <w:pPr>
            <w:keepNext w:val="0"/>
            <w:keepLines w:val="0"/>
            <w:pageBreakBefore w:val="0"/>
            <w:widowControl w:val="0"/>
            <w:wordWrap/>
            <w:overflowPunct/>
            <w:topLinePunct w:val="0"/>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62A1F8D">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5AE32A2">
      <w:pPr>
        <w:pStyle w:val="28"/>
        <w:keepNext w:val="0"/>
        <w:keepLines w:val="0"/>
        <w:pageBreakBefore w:val="0"/>
        <w:widowControl w:val="0"/>
        <w:wordWrap/>
        <w:overflowPunct/>
        <w:topLinePunct w:val="0"/>
        <w:bidi w:val="0"/>
        <w:rPr>
          <w:rFonts w:hint="default"/>
          <w:lang w:val="en-US" w:eastAsia="zh-CN"/>
        </w:rPr>
      </w:pPr>
      <w:bookmarkStart w:id="4" w:name="_Toc21539"/>
      <w:r>
        <w:rPr>
          <w:rFonts w:hint="eastAsia"/>
          <w:lang w:val="en-US" w:eastAsia="zh-CN"/>
        </w:rPr>
        <w:t>会议概述</w:t>
      </w:r>
      <w:bookmarkEnd w:id="4"/>
    </w:p>
    <w:p w14:paraId="5C2D1DBB">
      <w:pPr>
        <w:pStyle w:val="30"/>
        <w:keepNext w:val="0"/>
        <w:keepLines w:val="0"/>
        <w:pageBreakBefore w:val="0"/>
        <w:widowControl w:val="0"/>
        <w:wordWrap/>
        <w:overflowPunct/>
        <w:topLinePunct w:val="0"/>
        <w:bidi w:val="0"/>
        <w:rPr>
          <w:rFonts w:hint="default"/>
          <w:lang w:val="en-US" w:eastAsia="zh-CN"/>
        </w:rPr>
      </w:pPr>
      <w:bookmarkStart w:id="5" w:name="_Toc12782"/>
      <w:r>
        <w:rPr>
          <w:rFonts w:hint="eastAsia"/>
          <w:lang w:val="en-US" w:eastAsia="zh-CN"/>
        </w:rPr>
        <w:t>会议基本信息</w:t>
      </w:r>
      <w:bookmarkEnd w:id="5"/>
    </w:p>
    <w:p w14:paraId="4AE3F707">
      <w:pPr>
        <w:pStyle w:val="39"/>
        <w:keepNext w:val="0"/>
        <w:keepLines w:val="0"/>
        <w:pageBreakBefore w:val="0"/>
        <w:widowControl w:val="0"/>
        <w:wordWrap/>
        <w:overflowPunct/>
        <w:topLinePunct w:val="0"/>
        <w:bidi w:val="0"/>
        <w:rPr>
          <w:rFonts w:hint="default"/>
        </w:rPr>
      </w:pPr>
      <w:r>
        <w:t>会议主题：</w:t>
      </w:r>
      <w:r>
        <w:rPr>
          <w:rFonts w:hint="default"/>
        </w:rPr>
        <w:t>项目启动暨关键事项沟通会</w:t>
      </w:r>
    </w:p>
    <w:p w14:paraId="6C9DFB43">
      <w:pPr>
        <w:pStyle w:val="39"/>
        <w:keepNext w:val="0"/>
        <w:keepLines w:val="0"/>
        <w:pageBreakBefore w:val="0"/>
        <w:widowControl w:val="0"/>
        <w:wordWrap/>
        <w:overflowPunct/>
        <w:topLinePunct w:val="0"/>
        <w:bidi w:val="0"/>
        <w:rPr>
          <w:rFonts w:hint="default"/>
        </w:rPr>
      </w:pPr>
      <w:r>
        <w:rPr>
          <w:rFonts w:hint="default"/>
        </w:rPr>
        <w:t>会议时间：2025年</w:t>
      </w:r>
      <w:r>
        <w:rPr>
          <w:rFonts w:hint="eastAsia"/>
          <w:lang w:val="en-US" w:eastAsia="zh-CN"/>
        </w:rPr>
        <w:t>5</w:t>
      </w:r>
      <w:r>
        <w:rPr>
          <w:rFonts w:hint="default"/>
        </w:rPr>
        <w:t>月</w:t>
      </w:r>
      <w:r>
        <w:rPr>
          <w:rFonts w:hint="eastAsia"/>
          <w:lang w:val="en-US" w:eastAsia="zh-CN"/>
        </w:rPr>
        <w:t>10</w:t>
      </w:r>
      <w:r>
        <w:rPr>
          <w:rFonts w:hint="default"/>
        </w:rPr>
        <w:t>日14:00 - 16:30</w:t>
      </w:r>
    </w:p>
    <w:p w14:paraId="2F5B71FE">
      <w:pPr>
        <w:pStyle w:val="39"/>
        <w:keepNext w:val="0"/>
        <w:keepLines w:val="0"/>
        <w:pageBreakBefore w:val="0"/>
        <w:widowControl w:val="0"/>
        <w:wordWrap/>
        <w:overflowPunct/>
        <w:topLinePunct w:val="0"/>
        <w:bidi w:val="0"/>
        <w:rPr>
          <w:rFonts w:hint="default"/>
        </w:rPr>
      </w:pPr>
      <w:r>
        <w:rPr>
          <w:rFonts w:hint="default"/>
        </w:rPr>
        <w:t>会议地点：青岛瑞源工程集团有限公司会议室（线上同步）</w:t>
      </w:r>
    </w:p>
    <w:p w14:paraId="5D5E4552">
      <w:pPr>
        <w:pStyle w:val="39"/>
        <w:keepNext w:val="0"/>
        <w:keepLines w:val="0"/>
        <w:pageBreakBefore w:val="0"/>
        <w:widowControl w:val="0"/>
        <w:wordWrap/>
        <w:overflowPunct/>
        <w:topLinePunct w:val="0"/>
        <w:bidi w:val="0"/>
        <w:rPr>
          <w:rFonts w:hint="default"/>
        </w:rPr>
      </w:pPr>
      <w:r>
        <w:rPr>
          <w:rFonts w:hint="default"/>
        </w:rPr>
        <w:t>主持人：</w:t>
      </w:r>
      <w:r>
        <w:rPr>
          <w:rFonts w:hint="eastAsia"/>
          <w:lang w:val="en-US" w:eastAsia="zh-CN"/>
        </w:rPr>
        <w:t>宋振</w:t>
      </w:r>
      <w:r>
        <w:rPr>
          <w:rFonts w:hint="default"/>
        </w:rPr>
        <w:t>（青岛瑞源）</w:t>
      </w:r>
    </w:p>
    <w:p w14:paraId="368660A5">
      <w:pPr>
        <w:pStyle w:val="39"/>
        <w:keepNext w:val="0"/>
        <w:keepLines w:val="0"/>
        <w:pageBreakBefore w:val="0"/>
        <w:widowControl w:val="0"/>
        <w:wordWrap/>
        <w:overflowPunct/>
        <w:topLinePunct w:val="0"/>
        <w:bidi w:val="0"/>
        <w:rPr>
          <w:rFonts w:hint="eastAsia"/>
          <w:lang w:val="en-US" w:eastAsia="zh-CN"/>
        </w:rPr>
      </w:pPr>
      <w:r>
        <w:rPr>
          <w:rFonts w:hint="default"/>
        </w:rPr>
        <w:t>记录人：</w:t>
      </w:r>
      <w:r>
        <w:rPr>
          <w:rFonts w:hint="eastAsia"/>
          <w:lang w:val="en-US" w:eastAsia="zh-CN"/>
        </w:rPr>
        <w:t>张秀才</w:t>
      </w:r>
    </w:p>
    <w:p w14:paraId="2CCEA984">
      <w:pPr>
        <w:pStyle w:val="30"/>
        <w:keepNext w:val="0"/>
        <w:keepLines w:val="0"/>
        <w:pageBreakBefore w:val="0"/>
        <w:widowControl w:val="0"/>
        <w:wordWrap/>
        <w:overflowPunct/>
        <w:topLinePunct w:val="0"/>
        <w:bidi w:val="0"/>
        <w:rPr>
          <w:rFonts w:hint="default"/>
          <w:lang w:val="en-US" w:eastAsia="zh-CN"/>
        </w:rPr>
      </w:pPr>
      <w:bookmarkStart w:id="6" w:name="_Toc6630"/>
      <w:r>
        <w:rPr>
          <w:rFonts w:hint="eastAsia"/>
          <w:lang w:val="en-US" w:eastAsia="zh-CN"/>
        </w:rPr>
        <w:t>参会人员</w:t>
      </w:r>
      <w:bookmarkEnd w:id="6"/>
    </w:p>
    <w:tbl>
      <w:tblPr>
        <w:tblStyle w:val="20"/>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87"/>
        <w:gridCol w:w="5325"/>
        <w:gridCol w:w="2012"/>
      </w:tblGrid>
      <w:tr w14:paraId="11B7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D365E58">
            <w:pPr>
              <w:keepNext w:val="0"/>
              <w:keepLines w:val="0"/>
              <w:pageBreakBefore w:val="0"/>
              <w:widowControl w:val="0"/>
              <w:suppressLineNumbers w:val="0"/>
              <w:wordWrap/>
              <w:overflowPunct/>
              <w:topLinePunct w:val="0"/>
              <w:bidi w:val="0"/>
              <w:spacing w:line="300" w:lineRule="atLeast"/>
              <w:jc w:val="left"/>
              <w:rPr>
                <w:rFonts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参会人员</w:t>
            </w:r>
          </w:p>
        </w:tc>
        <w:tc>
          <w:tcPr>
            <w:tcW w:w="0" w:type="auto"/>
            <w:shd w:val="clear" w:color="auto" w:fill="auto"/>
            <w:tcMar>
              <w:top w:w="120" w:type="dxa"/>
              <w:left w:w="192" w:type="dxa"/>
              <w:bottom w:w="120" w:type="dxa"/>
              <w:right w:w="192" w:type="dxa"/>
            </w:tcMar>
            <w:vAlign w:val="center"/>
          </w:tcPr>
          <w:p w14:paraId="203116AD">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所属单位/部门</w:t>
            </w:r>
          </w:p>
        </w:tc>
        <w:tc>
          <w:tcPr>
            <w:tcW w:w="0" w:type="auto"/>
            <w:shd w:val="clear" w:color="auto" w:fill="auto"/>
            <w:tcMar>
              <w:top w:w="120" w:type="dxa"/>
              <w:left w:w="192" w:type="dxa"/>
              <w:bottom w:w="120" w:type="dxa"/>
              <w:right w:w="192" w:type="dxa"/>
            </w:tcMar>
            <w:vAlign w:val="center"/>
          </w:tcPr>
          <w:p w14:paraId="3CCBF321">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职务</w:t>
            </w:r>
          </w:p>
        </w:tc>
      </w:tr>
      <w:tr w14:paraId="78A5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0281B42">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bidi="ar"/>
              </w:rPr>
              <w:t>赵伟</w:t>
            </w:r>
          </w:p>
        </w:tc>
        <w:tc>
          <w:tcPr>
            <w:tcW w:w="0" w:type="auto"/>
            <w:shd w:val="clear" w:color="auto" w:fill="auto"/>
            <w:tcMar>
              <w:top w:w="120" w:type="dxa"/>
              <w:left w:w="192" w:type="dxa"/>
              <w:bottom w:w="120" w:type="dxa"/>
              <w:right w:w="192" w:type="dxa"/>
            </w:tcMar>
            <w:vAlign w:val="center"/>
          </w:tcPr>
          <w:p w14:paraId="7BF1318F">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北京旗硕基业科技股份有限公司</w:t>
            </w:r>
          </w:p>
        </w:tc>
        <w:tc>
          <w:tcPr>
            <w:tcW w:w="0" w:type="auto"/>
            <w:shd w:val="clear" w:color="auto" w:fill="auto"/>
            <w:tcMar>
              <w:top w:w="120" w:type="dxa"/>
              <w:left w:w="192" w:type="dxa"/>
              <w:bottom w:w="120" w:type="dxa"/>
              <w:right w:w="0" w:type="dxa"/>
            </w:tcMar>
            <w:vAlign w:val="center"/>
          </w:tcPr>
          <w:p w14:paraId="3339D83F">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项目经理</w:t>
            </w:r>
          </w:p>
        </w:tc>
      </w:tr>
      <w:tr w14:paraId="6413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DFC4148">
            <w:pPr>
              <w:keepNext w:val="0"/>
              <w:keepLines w:val="0"/>
              <w:pageBreakBefore w:val="0"/>
              <w:widowControl w:val="0"/>
              <w:suppressLineNumbers w:val="0"/>
              <w:wordWrap/>
              <w:overflowPunct/>
              <w:topLinePunct w:val="0"/>
              <w:bidi w:val="0"/>
              <w:spacing w:line="300" w:lineRule="atLeast"/>
              <w:jc w:val="left"/>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李强</w:t>
            </w:r>
          </w:p>
        </w:tc>
        <w:tc>
          <w:tcPr>
            <w:tcW w:w="0" w:type="auto"/>
            <w:shd w:val="clear" w:color="auto" w:fill="auto"/>
            <w:tcMar>
              <w:top w:w="120" w:type="dxa"/>
              <w:left w:w="192" w:type="dxa"/>
              <w:bottom w:w="120" w:type="dxa"/>
              <w:right w:w="192" w:type="dxa"/>
            </w:tcMar>
            <w:vAlign w:val="center"/>
          </w:tcPr>
          <w:p w14:paraId="34B39D25">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北京旗硕基业科技股份有限公司</w:t>
            </w:r>
          </w:p>
        </w:tc>
        <w:tc>
          <w:tcPr>
            <w:tcW w:w="0" w:type="auto"/>
            <w:shd w:val="clear" w:color="auto" w:fill="auto"/>
            <w:tcMar>
              <w:top w:w="120" w:type="dxa"/>
              <w:left w:w="192" w:type="dxa"/>
              <w:bottom w:w="120" w:type="dxa"/>
              <w:right w:w="0" w:type="dxa"/>
            </w:tcMar>
            <w:vAlign w:val="center"/>
          </w:tcPr>
          <w:p w14:paraId="696F10AE">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技术负责人</w:t>
            </w:r>
          </w:p>
        </w:tc>
      </w:tr>
      <w:tr w14:paraId="082B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499AF94">
            <w:pPr>
              <w:keepNext w:val="0"/>
              <w:keepLines w:val="0"/>
              <w:pageBreakBefore w:val="0"/>
              <w:widowControl w:val="0"/>
              <w:suppressLineNumbers w:val="0"/>
              <w:wordWrap/>
              <w:overflowPunct/>
              <w:topLinePunct w:val="0"/>
              <w:bidi w:val="0"/>
              <w:spacing w:line="300" w:lineRule="atLeast"/>
              <w:jc w:val="left"/>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宋振</w:t>
            </w:r>
          </w:p>
        </w:tc>
        <w:tc>
          <w:tcPr>
            <w:tcW w:w="0" w:type="auto"/>
            <w:shd w:val="clear" w:color="auto" w:fill="auto"/>
            <w:tcMar>
              <w:top w:w="120" w:type="dxa"/>
              <w:left w:w="192" w:type="dxa"/>
              <w:bottom w:w="120" w:type="dxa"/>
              <w:right w:w="192" w:type="dxa"/>
            </w:tcMar>
            <w:vAlign w:val="center"/>
          </w:tcPr>
          <w:p w14:paraId="74A72772">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青岛瑞源工程集团有限公司</w:t>
            </w:r>
          </w:p>
        </w:tc>
        <w:tc>
          <w:tcPr>
            <w:tcW w:w="0" w:type="auto"/>
            <w:shd w:val="clear" w:color="auto" w:fill="auto"/>
            <w:tcMar>
              <w:top w:w="120" w:type="dxa"/>
              <w:left w:w="192" w:type="dxa"/>
              <w:bottom w:w="120" w:type="dxa"/>
              <w:right w:w="0" w:type="dxa"/>
            </w:tcMar>
            <w:vAlign w:val="center"/>
          </w:tcPr>
          <w:p w14:paraId="0A346320">
            <w:pPr>
              <w:keepNext w:val="0"/>
              <w:keepLines w:val="0"/>
              <w:pageBreakBefore w:val="0"/>
              <w:widowControl w:val="0"/>
              <w:suppressLineNumbers w:val="0"/>
              <w:wordWrap/>
              <w:overflowPunct/>
              <w:topLinePunct w:val="0"/>
              <w:bidi w:val="0"/>
              <w:spacing w:line="300" w:lineRule="atLeast"/>
              <w:jc w:val="left"/>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副总</w:t>
            </w:r>
          </w:p>
        </w:tc>
      </w:tr>
      <w:tr w14:paraId="2B23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78468AB">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eastAsia" w:ascii="Segoe UI" w:hAnsi="Segoe UI" w:eastAsia="宋体" w:cs="Segoe UI"/>
                <w:i w:val="0"/>
                <w:iCs w:val="0"/>
                <w:caps w:val="0"/>
                <w:color w:val="0F1115"/>
                <w:spacing w:val="0"/>
                <w:sz w:val="18"/>
                <w:szCs w:val="18"/>
                <w:lang w:val="en-US" w:eastAsia="zh-CN"/>
              </w:rPr>
              <w:t>宋振</w:t>
            </w:r>
          </w:p>
        </w:tc>
        <w:tc>
          <w:tcPr>
            <w:tcW w:w="0" w:type="auto"/>
            <w:shd w:val="clear" w:color="auto" w:fill="auto"/>
            <w:tcMar>
              <w:top w:w="120" w:type="dxa"/>
              <w:left w:w="192" w:type="dxa"/>
              <w:bottom w:w="120" w:type="dxa"/>
              <w:right w:w="192" w:type="dxa"/>
            </w:tcMar>
            <w:vAlign w:val="center"/>
          </w:tcPr>
          <w:p w14:paraId="2E63F620">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应急管理办公室</w:t>
            </w:r>
          </w:p>
        </w:tc>
        <w:tc>
          <w:tcPr>
            <w:tcW w:w="0" w:type="auto"/>
            <w:shd w:val="clear" w:color="auto" w:fill="auto"/>
            <w:tcMar>
              <w:top w:w="120" w:type="dxa"/>
              <w:left w:w="192" w:type="dxa"/>
              <w:bottom w:w="120" w:type="dxa"/>
              <w:right w:w="0" w:type="dxa"/>
            </w:tcMar>
            <w:vAlign w:val="center"/>
          </w:tcPr>
          <w:p w14:paraId="3E2B22C0">
            <w:pPr>
              <w:keepNext w:val="0"/>
              <w:keepLines w:val="0"/>
              <w:pageBreakBefore w:val="0"/>
              <w:widowControl w:val="0"/>
              <w:suppressLineNumbers w:val="0"/>
              <w:wordWrap/>
              <w:overflowPunct/>
              <w:topLinePunct w:val="0"/>
              <w:bidi w:val="0"/>
              <w:spacing w:line="300" w:lineRule="atLeast"/>
              <w:jc w:val="left"/>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组长</w:t>
            </w:r>
          </w:p>
        </w:tc>
      </w:tr>
      <w:tr w14:paraId="0C1BA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505DF79">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eastAsia" w:ascii="宋体" w:hAnsi="宋体" w:eastAsia="宋体" w:cs="宋体"/>
                <w:sz w:val="20"/>
                <w:szCs w:val="20"/>
                <w:lang w:val="en-US" w:eastAsia="zh-CN"/>
              </w:rPr>
              <w:t>张秀才</w:t>
            </w:r>
          </w:p>
        </w:tc>
        <w:tc>
          <w:tcPr>
            <w:tcW w:w="0" w:type="auto"/>
            <w:shd w:val="clear" w:color="auto" w:fill="auto"/>
            <w:tcMar>
              <w:top w:w="120" w:type="dxa"/>
              <w:left w:w="192" w:type="dxa"/>
              <w:bottom w:w="120" w:type="dxa"/>
              <w:right w:w="192" w:type="dxa"/>
            </w:tcMar>
            <w:vAlign w:val="center"/>
          </w:tcPr>
          <w:p w14:paraId="349F4D3E">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平台运维组</w:t>
            </w:r>
          </w:p>
        </w:tc>
        <w:tc>
          <w:tcPr>
            <w:tcW w:w="0" w:type="auto"/>
            <w:shd w:val="clear" w:color="auto" w:fill="auto"/>
            <w:tcMar>
              <w:top w:w="120" w:type="dxa"/>
              <w:left w:w="192" w:type="dxa"/>
              <w:bottom w:w="120" w:type="dxa"/>
              <w:right w:w="0" w:type="dxa"/>
            </w:tcMar>
            <w:vAlign w:val="center"/>
          </w:tcPr>
          <w:p w14:paraId="4BE47F65">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bidi="ar"/>
              </w:rPr>
              <w:t>经理</w:t>
            </w:r>
          </w:p>
        </w:tc>
      </w:tr>
      <w:tr w14:paraId="1762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38D1262">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吴常云</w:t>
            </w:r>
          </w:p>
        </w:tc>
        <w:tc>
          <w:tcPr>
            <w:tcW w:w="0" w:type="auto"/>
            <w:shd w:val="clear" w:color="auto" w:fill="auto"/>
            <w:tcMar>
              <w:top w:w="120" w:type="dxa"/>
              <w:left w:w="192" w:type="dxa"/>
              <w:bottom w:w="120" w:type="dxa"/>
              <w:right w:w="192" w:type="dxa"/>
            </w:tcMar>
            <w:vAlign w:val="center"/>
          </w:tcPr>
          <w:p w14:paraId="3A1ABEE1">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综合办公室</w:t>
            </w:r>
          </w:p>
        </w:tc>
        <w:tc>
          <w:tcPr>
            <w:tcW w:w="0" w:type="auto"/>
            <w:shd w:val="clear" w:color="auto" w:fill="auto"/>
            <w:tcMar>
              <w:top w:w="120" w:type="dxa"/>
              <w:left w:w="192" w:type="dxa"/>
              <w:bottom w:w="120" w:type="dxa"/>
              <w:right w:w="0" w:type="dxa"/>
            </w:tcMar>
            <w:vAlign w:val="center"/>
          </w:tcPr>
          <w:p w14:paraId="340DCFAA">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bidi="ar"/>
              </w:rPr>
              <w:t>经理</w:t>
            </w:r>
          </w:p>
        </w:tc>
      </w:tr>
      <w:tr w14:paraId="75DF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61E171A">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陈云</w:t>
            </w:r>
          </w:p>
        </w:tc>
        <w:tc>
          <w:tcPr>
            <w:tcW w:w="0" w:type="auto"/>
            <w:shd w:val="clear" w:color="auto" w:fill="auto"/>
            <w:tcMar>
              <w:top w:w="120" w:type="dxa"/>
              <w:left w:w="192" w:type="dxa"/>
              <w:bottom w:w="120" w:type="dxa"/>
              <w:right w:w="192" w:type="dxa"/>
            </w:tcMar>
            <w:vAlign w:val="center"/>
          </w:tcPr>
          <w:p w14:paraId="02337CDE">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研发组</w:t>
            </w:r>
          </w:p>
        </w:tc>
        <w:tc>
          <w:tcPr>
            <w:tcW w:w="0" w:type="auto"/>
            <w:shd w:val="clear" w:color="auto" w:fill="auto"/>
            <w:tcMar>
              <w:top w:w="120" w:type="dxa"/>
              <w:left w:w="192" w:type="dxa"/>
              <w:bottom w:w="120" w:type="dxa"/>
              <w:right w:w="0" w:type="dxa"/>
            </w:tcMar>
            <w:vAlign w:val="center"/>
          </w:tcPr>
          <w:p w14:paraId="1D11FCFB">
            <w:pPr>
              <w:keepNext w:val="0"/>
              <w:keepLines w:val="0"/>
              <w:pageBreakBefore w:val="0"/>
              <w:widowControl w:val="0"/>
              <w:suppressLineNumbers w:val="0"/>
              <w:wordWrap/>
              <w:overflowPunct/>
              <w:topLinePunct w:val="0"/>
              <w:bidi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bidi="ar"/>
              </w:rPr>
            </w:pPr>
            <w:r>
              <w:rPr>
                <w:rFonts w:hint="eastAsia" w:ascii="Segoe UI" w:hAnsi="Segoe UI" w:eastAsia="Segoe UI" w:cs="Segoe UI"/>
                <w:i w:val="0"/>
                <w:iCs w:val="0"/>
                <w:caps w:val="0"/>
                <w:snapToGrid w:val="0"/>
                <w:color w:val="000000"/>
                <w:spacing w:val="0"/>
                <w:kern w:val="0"/>
                <w:sz w:val="18"/>
                <w:szCs w:val="18"/>
                <w:lang w:val="en-US" w:eastAsia="zh-CN" w:bidi="ar"/>
              </w:rPr>
              <w:t>经理</w:t>
            </w:r>
          </w:p>
        </w:tc>
      </w:tr>
    </w:tbl>
    <w:p w14:paraId="26662071">
      <w:pPr>
        <w:pStyle w:val="28"/>
        <w:keepNext w:val="0"/>
        <w:keepLines w:val="0"/>
        <w:pageBreakBefore w:val="0"/>
        <w:widowControl w:val="0"/>
        <w:wordWrap/>
        <w:overflowPunct/>
        <w:topLinePunct w:val="0"/>
        <w:bidi w:val="0"/>
        <w:rPr>
          <w:rFonts w:hint="default"/>
          <w:lang w:val="en-US" w:eastAsia="zh-CN"/>
        </w:rPr>
      </w:pPr>
      <w:bookmarkStart w:id="7" w:name="_Toc6503"/>
      <w:r>
        <w:rPr>
          <w:rFonts w:hint="default"/>
          <w:lang w:val="en-US" w:eastAsia="zh-CN"/>
        </w:rPr>
        <w:t>会议议程</w:t>
      </w:r>
      <w:bookmarkEnd w:id="7"/>
    </w:p>
    <w:p w14:paraId="205DED8F">
      <w:pPr>
        <w:pStyle w:val="39"/>
        <w:keepNext w:val="0"/>
        <w:keepLines w:val="0"/>
        <w:pageBreakBefore w:val="0"/>
        <w:widowControl w:val="0"/>
        <w:numPr>
          <w:ilvl w:val="0"/>
          <w:numId w:val="2"/>
        </w:numPr>
        <w:wordWrap/>
        <w:overflowPunct/>
        <w:topLinePunct w:val="0"/>
        <w:bidi w:val="0"/>
        <w:ind w:left="425" w:leftChars="0" w:hanging="425" w:firstLineChars="0"/>
        <w:rPr>
          <w:rFonts w:hint="default"/>
          <w:lang w:val="en-US" w:eastAsia="zh-CN"/>
        </w:rPr>
      </w:pPr>
      <w:r>
        <w:rPr>
          <w:rFonts w:hint="default"/>
          <w:lang w:val="en-US" w:eastAsia="zh-CN"/>
        </w:rPr>
        <w:t>宣布项目正式启动，确认合同基准日期。</w:t>
      </w:r>
    </w:p>
    <w:p w14:paraId="4407EA82">
      <w:pPr>
        <w:pStyle w:val="39"/>
        <w:keepNext w:val="0"/>
        <w:keepLines w:val="0"/>
        <w:pageBreakBefore w:val="0"/>
        <w:widowControl w:val="0"/>
        <w:numPr>
          <w:ilvl w:val="0"/>
          <w:numId w:val="2"/>
        </w:numPr>
        <w:wordWrap/>
        <w:overflowPunct/>
        <w:topLinePunct w:val="0"/>
        <w:bidi w:val="0"/>
        <w:ind w:left="425" w:leftChars="0" w:hanging="425" w:firstLineChars="0"/>
        <w:rPr>
          <w:rFonts w:hint="default"/>
          <w:lang w:val="en-US" w:eastAsia="zh-CN"/>
        </w:rPr>
      </w:pPr>
      <w:r>
        <w:rPr>
          <w:rFonts w:hint="default"/>
          <w:lang w:val="en-US" w:eastAsia="zh-CN"/>
        </w:rPr>
        <w:t>明确项目组织架构、双方接口人与沟通机制。</w:t>
      </w:r>
    </w:p>
    <w:p w14:paraId="3EC86364">
      <w:pPr>
        <w:pStyle w:val="39"/>
        <w:keepNext w:val="0"/>
        <w:keepLines w:val="0"/>
        <w:pageBreakBefore w:val="0"/>
        <w:widowControl w:val="0"/>
        <w:numPr>
          <w:ilvl w:val="0"/>
          <w:numId w:val="2"/>
        </w:numPr>
        <w:wordWrap/>
        <w:overflowPunct/>
        <w:topLinePunct w:val="0"/>
        <w:bidi w:val="0"/>
        <w:ind w:left="425" w:leftChars="0" w:hanging="425" w:firstLineChars="0"/>
        <w:rPr>
          <w:rFonts w:hint="default"/>
          <w:lang w:val="en-US" w:eastAsia="zh-CN"/>
        </w:rPr>
      </w:pPr>
      <w:r>
        <w:rPr>
          <w:rFonts w:hint="default"/>
          <w:lang w:val="en-US" w:eastAsia="zh-CN"/>
        </w:rPr>
        <w:t>审议并确认《项目应急预案》。</w:t>
      </w:r>
    </w:p>
    <w:p w14:paraId="276B0F14">
      <w:pPr>
        <w:pStyle w:val="39"/>
        <w:keepNext w:val="0"/>
        <w:keepLines w:val="0"/>
        <w:pageBreakBefore w:val="0"/>
        <w:widowControl w:val="0"/>
        <w:numPr>
          <w:ilvl w:val="0"/>
          <w:numId w:val="2"/>
        </w:numPr>
        <w:wordWrap/>
        <w:overflowPunct/>
        <w:topLinePunct w:val="0"/>
        <w:bidi w:val="0"/>
        <w:ind w:left="425" w:leftChars="0" w:hanging="425" w:firstLineChars="0"/>
        <w:rPr>
          <w:rFonts w:hint="default"/>
          <w:lang w:val="en-US" w:eastAsia="zh-CN"/>
        </w:rPr>
      </w:pPr>
      <w:r>
        <w:rPr>
          <w:rFonts w:hint="default"/>
          <w:lang w:val="en-US" w:eastAsia="zh-CN"/>
        </w:rPr>
        <w:t>讨论项目前期准备、物料采购及现场勘查计划。</w:t>
      </w:r>
    </w:p>
    <w:p w14:paraId="0CB0FE0E">
      <w:pPr>
        <w:pStyle w:val="39"/>
        <w:keepNext w:val="0"/>
        <w:keepLines w:val="0"/>
        <w:pageBreakBefore w:val="0"/>
        <w:widowControl w:val="0"/>
        <w:numPr>
          <w:ilvl w:val="0"/>
          <w:numId w:val="2"/>
        </w:numPr>
        <w:wordWrap/>
        <w:overflowPunct/>
        <w:topLinePunct w:val="0"/>
        <w:bidi w:val="0"/>
        <w:ind w:left="425" w:leftChars="0" w:hanging="425" w:firstLineChars="0"/>
        <w:rPr>
          <w:rFonts w:hint="default"/>
          <w:lang w:val="en-US" w:eastAsia="zh-CN"/>
        </w:rPr>
      </w:pPr>
      <w:r>
        <w:rPr>
          <w:rFonts w:hint="default"/>
          <w:lang w:val="en-US" w:eastAsia="zh-CN"/>
        </w:rPr>
        <w:t>确定近期工作节点与下次会议时间。</w:t>
      </w:r>
    </w:p>
    <w:p w14:paraId="70074F6D">
      <w:pPr>
        <w:pStyle w:val="28"/>
        <w:keepNext w:val="0"/>
        <w:keepLines w:val="0"/>
        <w:pageBreakBefore w:val="0"/>
        <w:widowControl w:val="0"/>
        <w:wordWrap/>
        <w:overflowPunct/>
        <w:topLinePunct w:val="0"/>
        <w:bidi w:val="0"/>
        <w:rPr>
          <w:rFonts w:hint="default"/>
          <w:lang w:val="en-US" w:eastAsia="zh-CN"/>
        </w:rPr>
      </w:pPr>
      <w:bookmarkStart w:id="8" w:name="_Toc604"/>
      <w:r>
        <w:rPr>
          <w:rFonts w:hint="default"/>
          <w:lang w:val="en-US" w:eastAsia="zh-CN"/>
        </w:rPr>
        <w:t>会议主要内容与决议</w:t>
      </w:r>
      <w:bookmarkEnd w:id="8"/>
    </w:p>
    <w:p w14:paraId="7BDF516F">
      <w:pPr>
        <w:pStyle w:val="30"/>
        <w:keepNext w:val="0"/>
        <w:keepLines w:val="0"/>
        <w:pageBreakBefore w:val="0"/>
        <w:widowControl w:val="0"/>
        <w:wordWrap/>
        <w:overflowPunct/>
        <w:topLinePunct w:val="0"/>
        <w:bidi w:val="0"/>
        <w:rPr>
          <w:rFonts w:hint="default"/>
          <w:lang w:val="en-US" w:eastAsia="zh-CN"/>
        </w:rPr>
      </w:pPr>
      <w:bookmarkStart w:id="9" w:name="_Toc10241"/>
      <w:r>
        <w:rPr>
          <w:rFonts w:hint="default"/>
          <w:lang w:val="en-US" w:eastAsia="zh-CN"/>
        </w:rPr>
        <w:t>项目正式启动与工期确认</w:t>
      </w:r>
      <w:bookmarkEnd w:id="9"/>
    </w:p>
    <w:p w14:paraId="2E33E290">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会议一致确认，本项目主合同签署生效日期认定为 2025年</w:t>
      </w:r>
      <w:r>
        <w:rPr>
          <w:rFonts w:hint="eastAsia"/>
          <w:lang w:val="en-US" w:eastAsia="zh-CN"/>
        </w:rPr>
        <w:t>5</w:t>
      </w:r>
      <w:r>
        <w:rPr>
          <w:rFonts w:hint="default"/>
          <w:lang w:val="en-US" w:eastAsia="zh-CN"/>
        </w:rPr>
        <w:t>月1日。</w:t>
      </w:r>
    </w:p>
    <w:p w14:paraId="6316BEFD">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根据合同第6.1条，项目建设周期为</w:t>
      </w:r>
      <w:r>
        <w:rPr>
          <w:rFonts w:hint="eastAsia"/>
          <w:lang w:val="en-US" w:eastAsia="zh-CN"/>
        </w:rPr>
        <w:t>120</w:t>
      </w:r>
      <w:r>
        <w:rPr>
          <w:rFonts w:hint="default"/>
          <w:lang w:val="en-US" w:eastAsia="zh-CN"/>
        </w:rPr>
        <w:t>个日历日。据此推算，项目硬件安装、软件开发及调试工作的最终完成截止日期为 2025年</w:t>
      </w:r>
      <w:r>
        <w:rPr>
          <w:rFonts w:hint="eastAsia"/>
          <w:lang w:val="en-US" w:eastAsia="zh-CN"/>
        </w:rPr>
        <w:t>8</w:t>
      </w:r>
      <w:r>
        <w:rPr>
          <w:rFonts w:hint="default"/>
          <w:lang w:val="en-US" w:eastAsia="zh-CN"/>
        </w:rPr>
        <w:t>月29日。各方须以此为目标，倒排工期计划。</w:t>
      </w:r>
    </w:p>
    <w:p w14:paraId="5AB6CAA4">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决议：乙方项目组须在一周内（</w:t>
      </w:r>
      <w:r>
        <w:rPr>
          <w:rFonts w:hint="eastAsia"/>
          <w:lang w:val="en-US" w:eastAsia="zh-CN"/>
        </w:rPr>
        <w:t>5</w:t>
      </w:r>
      <w:r>
        <w:rPr>
          <w:rFonts w:hint="default"/>
          <w:lang w:val="en-US" w:eastAsia="zh-CN"/>
        </w:rPr>
        <w:t>月1</w:t>
      </w:r>
      <w:r>
        <w:rPr>
          <w:rFonts w:hint="eastAsia"/>
          <w:lang w:val="en-US" w:eastAsia="zh-CN"/>
        </w:rPr>
        <w:t>7</w:t>
      </w:r>
      <w:r>
        <w:rPr>
          <w:rFonts w:hint="default"/>
          <w:lang w:val="en-US" w:eastAsia="zh-CN"/>
        </w:rPr>
        <w:t>日前）提交详细的《项目实施计划甘特图》，明确各阶段里程碑。</w:t>
      </w:r>
    </w:p>
    <w:p w14:paraId="434A25B2">
      <w:pPr>
        <w:pStyle w:val="30"/>
        <w:keepNext w:val="0"/>
        <w:keepLines w:val="0"/>
        <w:pageBreakBefore w:val="0"/>
        <w:widowControl w:val="0"/>
        <w:wordWrap/>
        <w:overflowPunct/>
        <w:topLinePunct w:val="0"/>
        <w:bidi w:val="0"/>
        <w:rPr>
          <w:rFonts w:hint="default"/>
          <w:lang w:val="en-US" w:eastAsia="zh-CN"/>
        </w:rPr>
      </w:pPr>
      <w:bookmarkStart w:id="10" w:name="_Toc4275"/>
      <w:r>
        <w:rPr>
          <w:rFonts w:hint="default"/>
          <w:lang w:val="en-US" w:eastAsia="zh-CN"/>
        </w:rPr>
        <w:t>组织架构与沟通机制</w:t>
      </w:r>
      <w:bookmarkEnd w:id="10"/>
    </w:p>
    <w:p w14:paraId="6EBB15D8">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双方明确了以乙方项目经理和甲方项目经理为日常沟通核心的对接机制。</w:t>
      </w:r>
    </w:p>
    <w:p w14:paraId="17ED6E72">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乙方介绍了公司内部为本项目配置的组织资源，与《应急预案》中定义的应急组织体系完全吻合，确保“平战结合”。</w:t>
      </w:r>
    </w:p>
    <w:p w14:paraId="1E918C79">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决议：即日起成立项目日常工作群，所有关键信息、文件变更、进度日报均需在群内同步。每周五下午召开项目周例会，通报进展、协调问题。</w:t>
      </w:r>
    </w:p>
    <w:p w14:paraId="5BE1FA1A">
      <w:pPr>
        <w:pStyle w:val="30"/>
        <w:keepNext w:val="0"/>
        <w:keepLines w:val="0"/>
        <w:pageBreakBefore w:val="0"/>
        <w:widowControl w:val="0"/>
        <w:wordWrap/>
        <w:overflowPunct/>
        <w:topLinePunct w:val="0"/>
        <w:bidi w:val="0"/>
        <w:rPr>
          <w:rFonts w:hint="default"/>
          <w:lang w:val="en-US" w:eastAsia="zh-CN"/>
        </w:rPr>
      </w:pPr>
      <w:bookmarkStart w:id="11" w:name="_Toc6186"/>
      <w:r>
        <w:rPr>
          <w:rFonts w:hint="default"/>
          <w:lang w:val="en-US" w:eastAsia="zh-CN"/>
        </w:rPr>
        <w:t>应急预案审议与确认</w:t>
      </w:r>
      <w:bookmarkEnd w:id="11"/>
    </w:p>
    <w:p w14:paraId="6FEE3EBE">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会议审议了根据合同及乙方组织架构制定的《烟台林海嵎峡田园综合体智慧农业大数据平台建设项目应急预案》。</w:t>
      </w:r>
    </w:p>
    <w:p w14:paraId="1B755432">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乙方应急管理办公室对预案中职责对接（应急领导小组→公司管理层，</w:t>
      </w:r>
      <w:r>
        <w:rPr>
          <w:rFonts w:hint="eastAsia"/>
          <w:lang w:val="en-US" w:eastAsia="zh-CN"/>
        </w:rPr>
        <w:t>技术支持小组</w:t>
      </w:r>
      <w:r>
        <w:rPr>
          <w:rFonts w:hint="default"/>
          <w:lang w:val="en-US" w:eastAsia="zh-CN"/>
        </w:rPr>
        <w:t>→应急执行小组等）表示完全认同，并承诺将项目纳入公司整体应急监控体系。</w:t>
      </w:r>
    </w:p>
    <w:p w14:paraId="046C2E9D">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决议：原则通过该应急预案。乙方负责在一周内组织本项目组成员及公司相关支撑部门（平台运维组、采购部等）进行预案宣贯。甲方予以配合。</w:t>
      </w:r>
    </w:p>
    <w:p w14:paraId="1CB8E0BD">
      <w:pPr>
        <w:pStyle w:val="30"/>
        <w:keepNext w:val="0"/>
        <w:keepLines w:val="0"/>
        <w:pageBreakBefore w:val="0"/>
        <w:widowControl w:val="0"/>
        <w:wordWrap/>
        <w:overflowPunct/>
        <w:topLinePunct w:val="0"/>
        <w:bidi w:val="0"/>
        <w:rPr>
          <w:rFonts w:hint="default"/>
          <w:lang w:val="en-US" w:eastAsia="zh-CN"/>
        </w:rPr>
      </w:pPr>
      <w:bookmarkStart w:id="12" w:name="_Toc4558"/>
      <w:r>
        <w:rPr>
          <w:rFonts w:hint="default"/>
          <w:lang w:val="en-US" w:eastAsia="zh-CN"/>
        </w:rPr>
        <w:t>前期工作部署</w:t>
      </w:r>
      <w:bookmarkEnd w:id="12"/>
    </w:p>
    <w:p w14:paraId="3C5BA9D2">
      <w:pPr>
        <w:pStyle w:val="31"/>
        <w:bidi w:val="0"/>
        <w:rPr>
          <w:rFonts w:hint="default"/>
          <w:lang w:val="en-US" w:eastAsia="zh-CN"/>
        </w:rPr>
      </w:pPr>
      <w:bookmarkStart w:id="13" w:name="_Toc14010"/>
      <w:r>
        <w:rPr>
          <w:rFonts w:hint="default"/>
          <w:lang w:val="en-US" w:eastAsia="zh-CN"/>
        </w:rPr>
        <w:t>物料采购</w:t>
      </w:r>
      <w:bookmarkEnd w:id="13"/>
    </w:p>
    <w:p w14:paraId="57A0EC82">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乙方采购部已依据《供货清单》启动主要设备的采购流程。对于有较长供货周期的进口或定制设备，将单独列项跟踪，并定期向甲方通报状态。</w:t>
      </w:r>
    </w:p>
    <w:p w14:paraId="54282DF2">
      <w:pPr>
        <w:pStyle w:val="31"/>
        <w:bidi w:val="0"/>
        <w:rPr>
          <w:rFonts w:hint="default"/>
          <w:lang w:val="en-US" w:eastAsia="zh-CN"/>
        </w:rPr>
      </w:pPr>
      <w:bookmarkStart w:id="14" w:name="_Toc3227"/>
      <w:r>
        <w:rPr>
          <w:rFonts w:hint="default"/>
          <w:lang w:val="en-US" w:eastAsia="zh-CN"/>
        </w:rPr>
        <w:t>技术准备</w:t>
      </w:r>
      <w:bookmarkEnd w:id="14"/>
    </w:p>
    <w:p w14:paraId="44FF313F">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乙方勘察测绘院及研发组已开始进行软件基础环境搭建和需求细化分析。</w:t>
      </w:r>
    </w:p>
    <w:p w14:paraId="30408F79">
      <w:pPr>
        <w:pStyle w:val="31"/>
        <w:bidi w:val="0"/>
        <w:rPr>
          <w:rFonts w:hint="default"/>
          <w:lang w:val="en-US" w:eastAsia="zh-CN"/>
        </w:rPr>
      </w:pPr>
      <w:bookmarkStart w:id="15" w:name="_Toc3704"/>
      <w:r>
        <w:rPr>
          <w:rFonts w:hint="default"/>
          <w:lang w:val="en-US" w:eastAsia="zh-CN"/>
        </w:rPr>
        <w:t>现场勘查</w:t>
      </w:r>
      <w:bookmarkEnd w:id="15"/>
    </w:p>
    <w:p w14:paraId="1310A878">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计划于2025年</w:t>
      </w:r>
      <w:r>
        <w:rPr>
          <w:rFonts w:hint="eastAsia"/>
          <w:lang w:val="en-US" w:eastAsia="zh-CN"/>
        </w:rPr>
        <w:t>5</w:t>
      </w:r>
      <w:r>
        <w:rPr>
          <w:rFonts w:hint="default"/>
          <w:lang w:val="en-US" w:eastAsia="zh-CN"/>
        </w:rPr>
        <w:t>月</w:t>
      </w:r>
      <w:r>
        <w:rPr>
          <w:rFonts w:hint="eastAsia"/>
          <w:lang w:val="en-US" w:eastAsia="zh-CN"/>
        </w:rPr>
        <w:t>1</w:t>
      </w:r>
      <w:r>
        <w:rPr>
          <w:rFonts w:hint="default"/>
          <w:lang w:val="en-US" w:eastAsia="zh-CN"/>
        </w:rPr>
        <w:t>5日前往烟台牟平区项目现场进行联合勘查，确认具体安装点位、网络及电力条件。</w:t>
      </w:r>
    </w:p>
    <w:p w14:paraId="24D00B2F">
      <w:pPr>
        <w:pStyle w:val="31"/>
        <w:bidi w:val="0"/>
        <w:rPr>
          <w:rFonts w:hint="default"/>
          <w:lang w:val="en-US" w:eastAsia="zh-CN"/>
        </w:rPr>
      </w:pPr>
      <w:bookmarkStart w:id="16" w:name="_Toc18963"/>
      <w:r>
        <w:rPr>
          <w:rFonts w:hint="default"/>
          <w:lang w:val="en-US" w:eastAsia="zh-CN"/>
        </w:rPr>
        <w:t>决议</w:t>
      </w:r>
      <w:bookmarkEnd w:id="16"/>
    </w:p>
    <w:p w14:paraId="43AF1BBE">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双方项目经理及相关技术人员共同参与</w:t>
      </w:r>
      <w:r>
        <w:rPr>
          <w:rFonts w:hint="eastAsia"/>
          <w:lang w:val="en-US" w:eastAsia="zh-CN"/>
        </w:rPr>
        <w:t>5</w:t>
      </w:r>
      <w:r>
        <w:rPr>
          <w:rFonts w:hint="default"/>
          <w:lang w:val="en-US" w:eastAsia="zh-CN"/>
        </w:rPr>
        <w:t>月</w:t>
      </w:r>
      <w:r>
        <w:rPr>
          <w:rFonts w:hint="eastAsia"/>
          <w:lang w:val="en-US" w:eastAsia="zh-CN"/>
        </w:rPr>
        <w:t>1</w:t>
      </w:r>
      <w:r>
        <w:rPr>
          <w:rFonts w:hint="default"/>
          <w:lang w:val="en-US" w:eastAsia="zh-CN"/>
        </w:rPr>
        <w:t>5的现场勘查。勘查后3日内，乙方提交《现场勘查报告》及《施工组织设计草案》。</w:t>
      </w:r>
    </w:p>
    <w:p w14:paraId="622DE9BA">
      <w:pPr>
        <w:pStyle w:val="30"/>
        <w:bidi w:val="0"/>
        <w:rPr>
          <w:rFonts w:hint="default"/>
          <w:lang w:val="en-US" w:eastAsia="zh-CN"/>
        </w:rPr>
      </w:pPr>
      <w:bookmarkStart w:id="17" w:name="_Toc12444"/>
      <w:r>
        <w:rPr>
          <w:rFonts w:hint="default"/>
          <w:lang w:val="en-US" w:eastAsia="zh-CN"/>
        </w:rPr>
        <w:t>合同关键条款重申</w:t>
      </w:r>
      <w:bookmarkEnd w:id="17"/>
    </w:p>
    <w:p w14:paraId="7E36C65E">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双方共同回顾了合同中的几个关键条款，并确认理解一致：</w:t>
      </w:r>
    </w:p>
    <w:p w14:paraId="14BB17DF">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付款方式： 按“背靠背”原则执行，乙方请款需提供合规发票。</w:t>
      </w:r>
    </w:p>
    <w:p w14:paraId="2E44141E">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验收流程： 验收将由乙方发起，甲方组织，最终由“业主方”确认的三方模式进行。</w:t>
      </w:r>
    </w:p>
    <w:p w14:paraId="57328B5A">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售后服务：质保期自最终整体验收合格之日起算三年。</w:t>
      </w:r>
    </w:p>
    <w:p w14:paraId="73679382">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知识产权： 为本项目定制开发的成果知识产权归甲方所有，乙方需严格遵守保密义务。</w:t>
      </w:r>
    </w:p>
    <w:p w14:paraId="1772A482">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决议：双方在项目执行过程中将严格遵守合同条款，任何变更均需通过书面形式确认。</w:t>
      </w:r>
    </w:p>
    <w:p w14:paraId="64DF6141">
      <w:pPr>
        <w:pStyle w:val="28"/>
        <w:bidi w:val="0"/>
        <w:rPr>
          <w:rFonts w:hint="default"/>
          <w:lang w:val="en-US" w:eastAsia="zh-CN"/>
        </w:rPr>
      </w:pPr>
      <w:bookmarkStart w:id="18" w:name="_Toc23079"/>
      <w:r>
        <w:rPr>
          <w:rFonts w:hint="eastAsia"/>
          <w:lang w:val="en-US" w:eastAsia="zh-CN"/>
        </w:rPr>
        <w:t>会议决议行动项</w:t>
      </w:r>
      <w:bookmarkEnd w:id="1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34"/>
        <w:gridCol w:w="3295"/>
        <w:gridCol w:w="2017"/>
        <w:gridCol w:w="1534"/>
        <w:gridCol w:w="1118"/>
      </w:tblGrid>
      <w:tr w14:paraId="5B76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04B278C6">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序号</w:t>
            </w:r>
          </w:p>
        </w:tc>
        <w:tc>
          <w:tcPr>
            <w:tcW w:w="3295" w:type="dxa"/>
            <w:shd w:val="clear" w:color="auto" w:fill="auto"/>
            <w:tcMar>
              <w:top w:w="120" w:type="dxa"/>
              <w:left w:w="192" w:type="dxa"/>
              <w:bottom w:w="120" w:type="dxa"/>
              <w:right w:w="192" w:type="dxa"/>
            </w:tcMar>
            <w:vAlign w:val="center"/>
          </w:tcPr>
          <w:p w14:paraId="5CE9D0B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行动项描述</w:t>
            </w:r>
          </w:p>
        </w:tc>
        <w:tc>
          <w:tcPr>
            <w:tcW w:w="2017" w:type="dxa"/>
            <w:shd w:val="clear" w:color="auto" w:fill="auto"/>
            <w:tcMar>
              <w:top w:w="120" w:type="dxa"/>
              <w:left w:w="192" w:type="dxa"/>
              <w:bottom w:w="120" w:type="dxa"/>
              <w:right w:w="192" w:type="dxa"/>
            </w:tcMar>
            <w:vAlign w:val="center"/>
          </w:tcPr>
          <w:p w14:paraId="44C779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责任方</w:t>
            </w:r>
          </w:p>
        </w:tc>
        <w:tc>
          <w:tcPr>
            <w:tcW w:w="1534" w:type="dxa"/>
            <w:shd w:val="clear" w:color="auto" w:fill="auto"/>
            <w:tcMar>
              <w:top w:w="120" w:type="dxa"/>
              <w:left w:w="192" w:type="dxa"/>
              <w:bottom w:w="120" w:type="dxa"/>
              <w:right w:w="192" w:type="dxa"/>
            </w:tcMar>
            <w:vAlign w:val="center"/>
          </w:tcPr>
          <w:p w14:paraId="13B496C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协办方</w:t>
            </w:r>
          </w:p>
        </w:tc>
        <w:tc>
          <w:tcPr>
            <w:tcW w:w="0" w:type="auto"/>
            <w:shd w:val="clear" w:color="auto" w:fill="auto"/>
            <w:tcMar>
              <w:top w:w="120" w:type="dxa"/>
              <w:left w:w="192" w:type="dxa"/>
              <w:bottom w:w="120" w:type="dxa"/>
              <w:right w:w="192" w:type="dxa"/>
            </w:tcMar>
            <w:vAlign w:val="center"/>
          </w:tcPr>
          <w:p w14:paraId="075EA93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截止日期</w:t>
            </w:r>
          </w:p>
        </w:tc>
      </w:tr>
      <w:tr w14:paraId="602E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EFBF36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w:t>
            </w:r>
          </w:p>
        </w:tc>
        <w:tc>
          <w:tcPr>
            <w:tcW w:w="3295" w:type="dxa"/>
            <w:shd w:val="clear" w:color="auto" w:fill="auto"/>
            <w:tcMar>
              <w:top w:w="120" w:type="dxa"/>
              <w:left w:w="192" w:type="dxa"/>
              <w:bottom w:w="120" w:type="dxa"/>
              <w:right w:w="192" w:type="dxa"/>
            </w:tcMar>
            <w:vAlign w:val="center"/>
          </w:tcPr>
          <w:p w14:paraId="2A96AA3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提交详细《项目实施计划甘特图》</w:t>
            </w:r>
          </w:p>
        </w:tc>
        <w:tc>
          <w:tcPr>
            <w:tcW w:w="2017" w:type="dxa"/>
            <w:shd w:val="clear" w:color="auto" w:fill="auto"/>
            <w:tcMar>
              <w:top w:w="120" w:type="dxa"/>
              <w:left w:w="192" w:type="dxa"/>
              <w:bottom w:w="120" w:type="dxa"/>
              <w:right w:w="192" w:type="dxa"/>
            </w:tcMar>
            <w:vAlign w:val="center"/>
          </w:tcPr>
          <w:p w14:paraId="75838B4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乙方项目经理</w:t>
            </w:r>
          </w:p>
        </w:tc>
        <w:tc>
          <w:tcPr>
            <w:tcW w:w="1534" w:type="dxa"/>
            <w:shd w:val="clear" w:color="auto" w:fill="auto"/>
            <w:tcMar>
              <w:top w:w="120" w:type="dxa"/>
              <w:left w:w="192" w:type="dxa"/>
              <w:bottom w:w="120" w:type="dxa"/>
              <w:right w:w="192" w:type="dxa"/>
            </w:tcMar>
            <w:vAlign w:val="center"/>
          </w:tcPr>
          <w:p w14:paraId="090C0F5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乙方项目组</w:t>
            </w:r>
          </w:p>
        </w:tc>
        <w:tc>
          <w:tcPr>
            <w:tcW w:w="0" w:type="auto"/>
            <w:shd w:val="clear" w:color="auto" w:fill="auto"/>
            <w:tcMar>
              <w:top w:w="120" w:type="dxa"/>
              <w:left w:w="192" w:type="dxa"/>
              <w:bottom w:w="120" w:type="dxa"/>
              <w:right w:w="0" w:type="dxa"/>
            </w:tcMar>
            <w:vAlign w:val="center"/>
          </w:tcPr>
          <w:p w14:paraId="753050E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bidi="ar"/>
              </w:rPr>
              <w:t>2025-05-</w:t>
            </w:r>
            <w:r>
              <w:rPr>
                <w:rFonts w:hint="eastAsia" w:ascii="Segoe UI" w:hAnsi="Segoe UI" w:eastAsia="Segoe UI" w:cs="Segoe UI"/>
                <w:i w:val="0"/>
                <w:iCs w:val="0"/>
                <w:caps w:val="0"/>
                <w:snapToGrid w:val="0"/>
                <w:color w:val="000000"/>
                <w:spacing w:val="0"/>
                <w:kern w:val="0"/>
                <w:sz w:val="18"/>
                <w:szCs w:val="18"/>
                <w:lang w:val="en-US" w:eastAsia="zh-CN" w:bidi="ar"/>
              </w:rPr>
              <w:t>17</w:t>
            </w:r>
          </w:p>
        </w:tc>
      </w:tr>
      <w:tr w14:paraId="1851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447D125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w:t>
            </w:r>
          </w:p>
        </w:tc>
        <w:tc>
          <w:tcPr>
            <w:tcW w:w="3295" w:type="dxa"/>
            <w:shd w:val="clear" w:color="auto" w:fill="auto"/>
            <w:tcMar>
              <w:top w:w="120" w:type="dxa"/>
              <w:left w:w="192" w:type="dxa"/>
              <w:bottom w:w="120" w:type="dxa"/>
              <w:right w:w="192" w:type="dxa"/>
            </w:tcMar>
            <w:vAlign w:val="center"/>
          </w:tcPr>
          <w:p w14:paraId="7D5AAE6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组织项目组内部进行应急预案宣贯</w:t>
            </w:r>
          </w:p>
        </w:tc>
        <w:tc>
          <w:tcPr>
            <w:tcW w:w="2017" w:type="dxa"/>
            <w:shd w:val="clear" w:color="auto" w:fill="auto"/>
            <w:tcMar>
              <w:top w:w="120" w:type="dxa"/>
              <w:left w:w="192" w:type="dxa"/>
              <w:bottom w:w="120" w:type="dxa"/>
              <w:right w:w="192" w:type="dxa"/>
            </w:tcMar>
            <w:vAlign w:val="center"/>
          </w:tcPr>
          <w:p w14:paraId="190C8C4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乙方应急管理办公室</w:t>
            </w:r>
          </w:p>
        </w:tc>
        <w:tc>
          <w:tcPr>
            <w:tcW w:w="1534" w:type="dxa"/>
            <w:shd w:val="clear" w:color="auto" w:fill="auto"/>
            <w:tcMar>
              <w:top w:w="120" w:type="dxa"/>
              <w:left w:w="192" w:type="dxa"/>
              <w:bottom w:w="120" w:type="dxa"/>
              <w:right w:w="192" w:type="dxa"/>
            </w:tcMar>
            <w:vAlign w:val="center"/>
          </w:tcPr>
          <w:p w14:paraId="1553EDC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乙方项目经理</w:t>
            </w:r>
          </w:p>
        </w:tc>
        <w:tc>
          <w:tcPr>
            <w:tcW w:w="0" w:type="auto"/>
            <w:shd w:val="clear" w:color="auto" w:fill="auto"/>
            <w:tcMar>
              <w:top w:w="120" w:type="dxa"/>
              <w:left w:w="192" w:type="dxa"/>
              <w:bottom w:w="120" w:type="dxa"/>
              <w:right w:w="0" w:type="dxa"/>
            </w:tcMar>
            <w:vAlign w:val="center"/>
          </w:tcPr>
          <w:p w14:paraId="27799C0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bidi="ar"/>
              </w:rPr>
              <w:t>2025-05-</w:t>
            </w:r>
            <w:r>
              <w:rPr>
                <w:rFonts w:hint="eastAsia" w:ascii="Segoe UI" w:hAnsi="Segoe UI" w:eastAsia="Segoe UI" w:cs="Segoe UI"/>
                <w:i w:val="0"/>
                <w:iCs w:val="0"/>
                <w:caps w:val="0"/>
                <w:snapToGrid w:val="0"/>
                <w:color w:val="000000"/>
                <w:spacing w:val="0"/>
                <w:kern w:val="0"/>
                <w:sz w:val="18"/>
                <w:szCs w:val="18"/>
                <w:lang w:val="en-US" w:eastAsia="zh-CN" w:bidi="ar"/>
              </w:rPr>
              <w:t>17</w:t>
            </w:r>
          </w:p>
        </w:tc>
      </w:tr>
      <w:tr w14:paraId="4638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915A1D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w:t>
            </w:r>
          </w:p>
        </w:tc>
        <w:tc>
          <w:tcPr>
            <w:tcW w:w="3295" w:type="dxa"/>
            <w:shd w:val="clear" w:color="auto" w:fill="auto"/>
            <w:tcMar>
              <w:top w:w="120" w:type="dxa"/>
              <w:left w:w="192" w:type="dxa"/>
              <w:bottom w:w="120" w:type="dxa"/>
              <w:right w:w="192" w:type="dxa"/>
            </w:tcMar>
            <w:vAlign w:val="center"/>
          </w:tcPr>
          <w:p w14:paraId="2DC5B5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组织项目现场联合勘查</w:t>
            </w:r>
          </w:p>
        </w:tc>
        <w:tc>
          <w:tcPr>
            <w:tcW w:w="2017" w:type="dxa"/>
            <w:shd w:val="clear" w:color="auto" w:fill="auto"/>
            <w:tcMar>
              <w:top w:w="120" w:type="dxa"/>
              <w:left w:w="192" w:type="dxa"/>
              <w:bottom w:w="120" w:type="dxa"/>
              <w:right w:w="192" w:type="dxa"/>
            </w:tcMar>
            <w:vAlign w:val="center"/>
          </w:tcPr>
          <w:p w14:paraId="7609F2A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乙方项目经理</w:t>
            </w:r>
          </w:p>
        </w:tc>
        <w:tc>
          <w:tcPr>
            <w:tcW w:w="1534" w:type="dxa"/>
            <w:shd w:val="clear" w:color="auto" w:fill="auto"/>
            <w:tcMar>
              <w:top w:w="120" w:type="dxa"/>
              <w:left w:w="192" w:type="dxa"/>
              <w:bottom w:w="120" w:type="dxa"/>
              <w:right w:w="192" w:type="dxa"/>
            </w:tcMar>
            <w:vAlign w:val="center"/>
          </w:tcPr>
          <w:p w14:paraId="332B0AE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甲方项目经理</w:t>
            </w:r>
          </w:p>
        </w:tc>
        <w:tc>
          <w:tcPr>
            <w:tcW w:w="0" w:type="auto"/>
            <w:shd w:val="clear" w:color="auto" w:fill="auto"/>
            <w:tcMar>
              <w:top w:w="120" w:type="dxa"/>
              <w:left w:w="192" w:type="dxa"/>
              <w:bottom w:w="120" w:type="dxa"/>
              <w:right w:w="0" w:type="dxa"/>
            </w:tcMar>
            <w:vAlign w:val="center"/>
          </w:tcPr>
          <w:p w14:paraId="57A3008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bidi="ar"/>
              </w:rPr>
              <w:t>2025-05-</w:t>
            </w:r>
            <w:r>
              <w:rPr>
                <w:rFonts w:hint="eastAsia" w:ascii="Segoe UI" w:hAnsi="Segoe UI" w:eastAsia="Segoe UI" w:cs="Segoe UI"/>
                <w:i w:val="0"/>
                <w:iCs w:val="0"/>
                <w:caps w:val="0"/>
                <w:snapToGrid w:val="0"/>
                <w:color w:val="000000"/>
                <w:spacing w:val="0"/>
                <w:kern w:val="0"/>
                <w:sz w:val="18"/>
                <w:szCs w:val="18"/>
                <w:lang w:val="en-US" w:eastAsia="zh-CN" w:bidi="ar"/>
              </w:rPr>
              <w:t>15</w:t>
            </w:r>
          </w:p>
        </w:tc>
      </w:tr>
      <w:tr w14:paraId="2DBF2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B7BF11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w:t>
            </w:r>
          </w:p>
        </w:tc>
        <w:tc>
          <w:tcPr>
            <w:tcW w:w="3295" w:type="dxa"/>
            <w:shd w:val="clear" w:color="auto" w:fill="auto"/>
            <w:tcMar>
              <w:top w:w="120" w:type="dxa"/>
              <w:left w:w="192" w:type="dxa"/>
              <w:bottom w:w="120" w:type="dxa"/>
              <w:right w:w="192" w:type="dxa"/>
            </w:tcMar>
            <w:vAlign w:val="center"/>
          </w:tcPr>
          <w:p w14:paraId="54443A0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提交《现场勘查报告》及《施工组织设计草案》</w:t>
            </w:r>
          </w:p>
        </w:tc>
        <w:tc>
          <w:tcPr>
            <w:tcW w:w="2017" w:type="dxa"/>
            <w:shd w:val="clear" w:color="auto" w:fill="auto"/>
            <w:tcMar>
              <w:top w:w="120" w:type="dxa"/>
              <w:left w:w="192" w:type="dxa"/>
              <w:bottom w:w="120" w:type="dxa"/>
              <w:right w:w="192" w:type="dxa"/>
            </w:tcMar>
            <w:vAlign w:val="center"/>
          </w:tcPr>
          <w:p w14:paraId="641D281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乙方技术负责人</w:t>
            </w:r>
          </w:p>
        </w:tc>
        <w:tc>
          <w:tcPr>
            <w:tcW w:w="1534" w:type="dxa"/>
            <w:shd w:val="clear" w:color="auto" w:fill="auto"/>
            <w:tcMar>
              <w:top w:w="120" w:type="dxa"/>
              <w:left w:w="192" w:type="dxa"/>
              <w:bottom w:w="120" w:type="dxa"/>
              <w:right w:w="192" w:type="dxa"/>
            </w:tcMar>
            <w:vAlign w:val="center"/>
          </w:tcPr>
          <w:p w14:paraId="57BD58B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乙方项目组</w:t>
            </w:r>
          </w:p>
        </w:tc>
        <w:tc>
          <w:tcPr>
            <w:tcW w:w="0" w:type="auto"/>
            <w:shd w:val="clear" w:color="auto" w:fill="auto"/>
            <w:tcMar>
              <w:top w:w="120" w:type="dxa"/>
              <w:left w:w="192" w:type="dxa"/>
              <w:bottom w:w="120" w:type="dxa"/>
              <w:right w:w="0" w:type="dxa"/>
            </w:tcMar>
            <w:vAlign w:val="center"/>
          </w:tcPr>
          <w:p w14:paraId="3870885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bidi="ar"/>
              </w:rPr>
              <w:t>2025-05-</w:t>
            </w:r>
            <w:r>
              <w:rPr>
                <w:rFonts w:hint="eastAsia" w:ascii="Segoe UI" w:hAnsi="Segoe UI" w:eastAsia="Segoe UI" w:cs="Segoe UI"/>
                <w:i w:val="0"/>
                <w:iCs w:val="0"/>
                <w:caps w:val="0"/>
                <w:snapToGrid w:val="0"/>
                <w:color w:val="000000"/>
                <w:spacing w:val="0"/>
                <w:kern w:val="0"/>
                <w:sz w:val="18"/>
                <w:szCs w:val="18"/>
                <w:lang w:val="en-US" w:eastAsia="zh-CN" w:bidi="ar"/>
              </w:rPr>
              <w:t>18</w:t>
            </w:r>
          </w:p>
        </w:tc>
      </w:tr>
      <w:tr w14:paraId="0B56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FE2F37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5</w:t>
            </w:r>
          </w:p>
        </w:tc>
        <w:tc>
          <w:tcPr>
            <w:tcW w:w="3295" w:type="dxa"/>
            <w:shd w:val="clear" w:color="auto" w:fill="auto"/>
            <w:tcMar>
              <w:top w:w="120" w:type="dxa"/>
              <w:left w:w="192" w:type="dxa"/>
              <w:bottom w:w="120" w:type="dxa"/>
              <w:right w:w="192" w:type="dxa"/>
            </w:tcMar>
            <w:vAlign w:val="center"/>
          </w:tcPr>
          <w:p w14:paraId="1FE800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建立项目日常工作群，并制定周报模板</w:t>
            </w:r>
          </w:p>
        </w:tc>
        <w:tc>
          <w:tcPr>
            <w:tcW w:w="2017" w:type="dxa"/>
            <w:shd w:val="clear" w:color="auto" w:fill="auto"/>
            <w:tcMar>
              <w:top w:w="120" w:type="dxa"/>
              <w:left w:w="192" w:type="dxa"/>
              <w:bottom w:w="120" w:type="dxa"/>
              <w:right w:w="192" w:type="dxa"/>
            </w:tcMar>
            <w:vAlign w:val="center"/>
          </w:tcPr>
          <w:p w14:paraId="27023BC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乙方项目经理</w:t>
            </w:r>
          </w:p>
        </w:tc>
        <w:tc>
          <w:tcPr>
            <w:tcW w:w="1534" w:type="dxa"/>
            <w:shd w:val="clear" w:color="auto" w:fill="auto"/>
            <w:tcMar>
              <w:top w:w="120" w:type="dxa"/>
              <w:left w:w="192" w:type="dxa"/>
              <w:bottom w:w="120" w:type="dxa"/>
              <w:right w:w="192" w:type="dxa"/>
            </w:tcMar>
            <w:vAlign w:val="center"/>
          </w:tcPr>
          <w:p w14:paraId="67A6AAF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甲方项目经理</w:t>
            </w:r>
          </w:p>
        </w:tc>
        <w:tc>
          <w:tcPr>
            <w:tcW w:w="0" w:type="auto"/>
            <w:shd w:val="clear" w:color="auto" w:fill="auto"/>
            <w:tcMar>
              <w:top w:w="120" w:type="dxa"/>
              <w:left w:w="192" w:type="dxa"/>
              <w:bottom w:w="120" w:type="dxa"/>
              <w:right w:w="0" w:type="dxa"/>
            </w:tcMar>
            <w:vAlign w:val="center"/>
          </w:tcPr>
          <w:p w14:paraId="4A34859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bidi="ar"/>
              </w:rPr>
              <w:t>2025-05-</w:t>
            </w:r>
            <w:r>
              <w:rPr>
                <w:rFonts w:hint="eastAsia" w:ascii="Segoe UI" w:hAnsi="Segoe UI" w:eastAsia="Segoe UI" w:cs="Segoe UI"/>
                <w:i w:val="0"/>
                <w:iCs w:val="0"/>
                <w:caps w:val="0"/>
                <w:snapToGrid w:val="0"/>
                <w:color w:val="000000"/>
                <w:spacing w:val="0"/>
                <w:kern w:val="0"/>
                <w:sz w:val="18"/>
                <w:szCs w:val="18"/>
                <w:lang w:val="en-US" w:eastAsia="zh-CN" w:bidi="ar"/>
              </w:rPr>
              <w:t>18</w:t>
            </w:r>
          </w:p>
        </w:tc>
      </w:tr>
    </w:tbl>
    <w:p w14:paraId="1C240608">
      <w:pPr>
        <w:pStyle w:val="28"/>
        <w:bidi w:val="0"/>
        <w:rPr>
          <w:rFonts w:hint="default"/>
          <w:lang w:val="en-US" w:eastAsia="zh-CN"/>
        </w:rPr>
      </w:pPr>
      <w:bookmarkStart w:id="19" w:name="_Toc2690"/>
      <w:r>
        <w:rPr>
          <w:rFonts w:hint="eastAsia"/>
          <w:lang w:val="en-US" w:eastAsia="zh-CN"/>
        </w:rPr>
        <w:t>下次会议安排</w:t>
      </w:r>
      <w:bookmarkEnd w:id="19"/>
    </w:p>
    <w:p w14:paraId="0ED81CB8">
      <w:pPr>
        <w:pStyle w:val="39"/>
        <w:bidi w:val="0"/>
        <w:rPr>
          <w:rFonts w:hint="default"/>
          <w:lang w:val="en-US" w:eastAsia="zh-CN"/>
        </w:rPr>
      </w:pPr>
      <w:r>
        <w:rPr>
          <w:rFonts w:hint="default"/>
          <w:lang w:val="en-US" w:eastAsia="zh-CN"/>
        </w:rPr>
        <w:t>时间：2025年5月1</w:t>
      </w:r>
      <w:r>
        <w:rPr>
          <w:rFonts w:hint="eastAsia"/>
          <w:lang w:val="en-US" w:eastAsia="zh-CN"/>
        </w:rPr>
        <w:t>9</w:t>
      </w:r>
      <w:r>
        <w:rPr>
          <w:rFonts w:hint="default"/>
          <w:lang w:val="en-US" w:eastAsia="zh-CN"/>
        </w:rPr>
        <w:t>日（周</w:t>
      </w:r>
      <w:r>
        <w:rPr>
          <w:rFonts w:hint="eastAsia"/>
          <w:lang w:val="en-US" w:eastAsia="zh-CN"/>
        </w:rPr>
        <w:t>一</w:t>
      </w:r>
      <w:r>
        <w:rPr>
          <w:rFonts w:hint="default"/>
          <w:lang w:val="en-US" w:eastAsia="zh-CN"/>
        </w:rPr>
        <w:t>）15:00</w:t>
      </w:r>
    </w:p>
    <w:p w14:paraId="74D876E6">
      <w:pPr>
        <w:pStyle w:val="39"/>
        <w:bidi w:val="0"/>
        <w:rPr>
          <w:rFonts w:hint="default"/>
          <w:lang w:val="en-US" w:eastAsia="zh-CN"/>
        </w:rPr>
      </w:pPr>
      <w:r>
        <w:rPr>
          <w:rFonts w:hint="default"/>
          <w:lang w:val="en-US" w:eastAsia="zh-CN"/>
        </w:rPr>
        <w:t>形式：线上会议</w:t>
      </w:r>
    </w:p>
    <w:p w14:paraId="2ED352AC">
      <w:pPr>
        <w:pStyle w:val="39"/>
        <w:bidi w:val="0"/>
        <w:rPr>
          <w:rFonts w:hint="default"/>
          <w:lang w:val="en-US" w:eastAsia="zh-CN"/>
        </w:rPr>
      </w:pPr>
      <w:r>
        <w:rPr>
          <w:rFonts w:hint="default"/>
          <w:lang w:val="en-US" w:eastAsia="zh-CN"/>
        </w:rPr>
        <w:t>主题：审议《项目实施计划》及《现场勘查报告》，讨论软件需求规格。</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17BA9">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6509453"/>
    <w:multiLevelType w:val="singleLevel"/>
    <w:tmpl w:val="A6509453"/>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724869"/>
    <w:rsid w:val="03870314"/>
    <w:rsid w:val="040354C1"/>
    <w:rsid w:val="050D2A9B"/>
    <w:rsid w:val="08BD778E"/>
    <w:rsid w:val="09B23C11"/>
    <w:rsid w:val="0C210BDA"/>
    <w:rsid w:val="126F6B43"/>
    <w:rsid w:val="13DA623E"/>
    <w:rsid w:val="190569E4"/>
    <w:rsid w:val="1A252DD1"/>
    <w:rsid w:val="1C470054"/>
    <w:rsid w:val="25ED0053"/>
    <w:rsid w:val="265F25D3"/>
    <w:rsid w:val="2C0B1233"/>
    <w:rsid w:val="2FB93331"/>
    <w:rsid w:val="301A5EE8"/>
    <w:rsid w:val="328A3DB3"/>
    <w:rsid w:val="35357321"/>
    <w:rsid w:val="37022D4B"/>
    <w:rsid w:val="393D3428"/>
    <w:rsid w:val="39FA0479"/>
    <w:rsid w:val="3A157721"/>
    <w:rsid w:val="3F744EE9"/>
    <w:rsid w:val="44E82747"/>
    <w:rsid w:val="459C69D7"/>
    <w:rsid w:val="45ED50AE"/>
    <w:rsid w:val="46660D45"/>
    <w:rsid w:val="467D3251"/>
    <w:rsid w:val="4C1E4213"/>
    <w:rsid w:val="4D01701D"/>
    <w:rsid w:val="4E2F4B6D"/>
    <w:rsid w:val="4E7650B5"/>
    <w:rsid w:val="4F04359A"/>
    <w:rsid w:val="506A3ECB"/>
    <w:rsid w:val="53F12868"/>
    <w:rsid w:val="56451002"/>
    <w:rsid w:val="575E405D"/>
    <w:rsid w:val="59C06B56"/>
    <w:rsid w:val="5B754504"/>
    <w:rsid w:val="5B791466"/>
    <w:rsid w:val="5BA34735"/>
    <w:rsid w:val="5DED1ED3"/>
    <w:rsid w:val="5F7F6E06"/>
    <w:rsid w:val="622506F4"/>
    <w:rsid w:val="64947DE6"/>
    <w:rsid w:val="660467D5"/>
    <w:rsid w:val="66212E26"/>
    <w:rsid w:val="666A657B"/>
    <w:rsid w:val="674B5BB6"/>
    <w:rsid w:val="675F0B6A"/>
    <w:rsid w:val="69A24DB9"/>
    <w:rsid w:val="6A6E1C7B"/>
    <w:rsid w:val="6CA67BE1"/>
    <w:rsid w:val="70397BC9"/>
    <w:rsid w:val="75B415C0"/>
    <w:rsid w:val="76F115AC"/>
    <w:rsid w:val="7C961A20"/>
    <w:rsid w:val="7D7B6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1716</Words>
  <Characters>1894</Characters>
  <Lines>0</Lines>
  <Paragraphs>0</Paragraphs>
  <TotalTime>0</TotalTime>
  <ScaleCrop>false</ScaleCrop>
  <LinksUpToDate>false</LinksUpToDate>
  <CharactersWithSpaces>1975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2025-12-22T17:33:05Z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