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20834"/>
      <w:bookmarkStart w:id="1" w:name="_Toc21462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6AF71D3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2" w:name="_Toc20245"/>
      <w:bookmarkStart w:id="3" w:name="_Toc14545"/>
      <w:r>
        <w:rPr>
          <w:rFonts w:hint="eastAsia"/>
          <w:lang w:val="en-US" w:eastAsia="zh-CN"/>
        </w:rPr>
        <w:t>烟台林海嵎峡田综合体智慧农业大数据平台建设项目-</w:t>
      </w:r>
      <w:bookmarkEnd w:id="2"/>
      <w:r>
        <w:rPr>
          <w:rFonts w:hint="eastAsia"/>
          <w:lang w:val="en-US" w:eastAsia="zh-CN"/>
        </w:rPr>
        <w:t>应急实施方案</w:t>
      </w:r>
      <w:bookmarkEnd w:id="3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2025.05.20</w:t>
            </w:r>
          </w:p>
        </w:tc>
      </w:tr>
    </w:tbl>
    <w:p w14:paraId="7EDC164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D6AFCD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0</w:t>
            </w:r>
          </w:p>
        </w:tc>
        <w:tc>
          <w:tcPr>
            <w:tcW w:w="919" w:type="dxa"/>
          </w:tcPr>
          <w:p w14:paraId="513F8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498103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48AC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A206B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6ABEB3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46D13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1E672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C1BFB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4B76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B0A79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76FCE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5B7EC5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7995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81D3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02D5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15D94E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E766A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A0C47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7BDA32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7EA034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026A3B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21963C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8ADB9E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34D299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_Toc21462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14E5B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烟台林海嵎峡田综合体智慧农业大数据平台建设项目-应急实施方案</w:t>
          </w:r>
          <w:r>
            <w:tab/>
          </w:r>
          <w:r>
            <w:fldChar w:fldCharType="begin"/>
          </w:r>
          <w:r>
            <w:instrText xml:space="preserve"> PAGEREF _Toc14545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C01FF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演练目的</w:t>
          </w:r>
          <w:r>
            <w:tab/>
          </w:r>
          <w:r>
            <w:fldChar w:fldCharType="begin"/>
          </w:r>
          <w:r>
            <w:instrText xml:space="preserve"> PAGEREF _Toc16043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F2AA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编制依据</w:t>
          </w:r>
          <w:r>
            <w:tab/>
          </w:r>
          <w:r>
            <w:fldChar w:fldCharType="begin"/>
          </w:r>
          <w:r>
            <w:instrText xml:space="preserve"> PAGEREF _Toc7340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B0A0E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演练原则</w:t>
          </w:r>
          <w:r>
            <w:tab/>
          </w:r>
          <w:r>
            <w:fldChar w:fldCharType="begin"/>
          </w:r>
          <w:r>
            <w:instrText xml:space="preserve"> PAGEREF _Toc18985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12C8C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演练概况</w:t>
          </w:r>
          <w:r>
            <w:tab/>
          </w:r>
          <w:r>
            <w:fldChar w:fldCharType="begin"/>
          </w:r>
          <w:r>
            <w:instrText xml:space="preserve"> PAGEREF _Toc26785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79B62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演练组织与职责</w:t>
          </w:r>
          <w:r>
            <w:tab/>
          </w:r>
          <w:r>
            <w:fldChar w:fldCharType="begin"/>
          </w:r>
          <w:r>
            <w:instrText xml:space="preserve"> PAGEREF _Toc24606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7BDD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项目应急领导小组</w:t>
          </w:r>
          <w:r>
            <w:tab/>
          </w:r>
          <w:r>
            <w:fldChar w:fldCharType="begin"/>
          </w:r>
          <w:r>
            <w:instrText xml:space="preserve"> PAGEREF _Toc27111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F9269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应急执行小组</w:t>
          </w:r>
          <w:r>
            <w:tab/>
          </w:r>
          <w:r>
            <w:fldChar w:fldCharType="begin"/>
          </w:r>
          <w:r>
            <w:instrText xml:space="preserve"> PAGEREF _Toc255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B9511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_Toc20178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技术支持小组</w:t>
          </w:r>
          <w:r>
            <w:tab/>
          </w:r>
          <w:r>
            <w:fldChar w:fldCharType="begin"/>
          </w:r>
          <w:r>
            <w:instrText xml:space="preserve"> PAGEREF _Toc20178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0F5A46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后勤保障小组</w:t>
          </w:r>
          <w:r>
            <w:tab/>
          </w:r>
          <w:r>
            <w:fldChar w:fldCharType="begin"/>
          </w:r>
          <w:r>
            <w:instrText xml:space="preserve"> PAGEREF _Toc23222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56BB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演练场景与流程设计</w:t>
          </w:r>
          <w:r>
            <w:tab/>
          </w:r>
          <w:r>
            <w:fldChar w:fldCharType="begin"/>
          </w:r>
          <w:r>
            <w:instrText xml:space="preserve"> PAGEREF _Toc2790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D840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_Toc8948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场景初始化 (14:00-14:05)</w:t>
          </w:r>
          <w:r>
            <w:tab/>
          </w:r>
          <w:r>
            <w:fldChar w:fldCharType="begin"/>
          </w:r>
          <w:r>
            <w:instrText xml:space="preserve"> PAGEREF _Toc8948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B5717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事件发生与信息报告 (14:05-14:15)</w:t>
          </w:r>
          <w:r>
            <w:tab/>
          </w:r>
          <w:r>
            <w:fldChar w:fldCharType="begin"/>
          </w:r>
          <w:r>
            <w:instrText xml:space="preserve"> PAGEREF _Toc13407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B12D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6.3. 应急启动与先期处置 (14:15-14:30)</w:t>
          </w:r>
          <w:r>
            <w:tab/>
          </w:r>
          <w:r>
            <w:fldChar w:fldCharType="begin"/>
          </w:r>
          <w:r>
            <w:instrText xml:space="preserve"> PAGEREF _Toc14605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63FD5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6.4. 技术研判与协同处置 (14:30-15:30)</w:t>
          </w:r>
          <w:r>
            <w:tab/>
          </w:r>
          <w:r>
            <w:fldChar w:fldCharType="begin"/>
          </w:r>
          <w:r>
            <w:instrText xml:space="preserve"> PAGEREF _Toc28454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5307A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6.5. 系统恢复与演练终止 (15:30-16:00)</w:t>
          </w:r>
          <w:r>
            <w:tab/>
          </w:r>
          <w:r>
            <w:fldChar w:fldCharType="begin"/>
          </w:r>
          <w:r>
            <w:instrText xml:space="preserve"> PAGEREF _Toc29600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D9961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6.6. 总结与点评 (16:00-16:30)</w:t>
          </w:r>
          <w:r>
            <w:tab/>
          </w:r>
          <w:r>
            <w:fldChar w:fldCharType="begin"/>
          </w:r>
          <w:r>
            <w:instrText xml:space="preserve"> PAGEREF _Toc22608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32D3A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演练评估标准</w:t>
          </w:r>
          <w:r>
            <w:tab/>
          </w:r>
          <w:r>
            <w:fldChar w:fldCharType="begin"/>
          </w:r>
          <w:r>
            <w:instrText xml:space="preserve"> PAGEREF _Toc24733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7CABF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准备工作与保障措施</w:t>
          </w:r>
          <w:r>
            <w:tab/>
          </w:r>
          <w:r>
            <w:fldChar w:fldCharType="begin"/>
          </w:r>
          <w:r>
            <w:instrText xml:space="preserve"> PAGEREF _Toc16012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F8BC8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9. 后续工作</w:t>
          </w:r>
          <w:r>
            <w:tab/>
          </w:r>
          <w:r>
            <w:fldChar w:fldCharType="begin"/>
          </w:r>
          <w:r>
            <w:instrText xml:space="preserve"> PAGEREF _Toc12907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F59E0A5">
      <w:pPr>
        <w:pStyle w:val="28"/>
        <w:bidi w:val="0"/>
        <w:rPr>
          <w:rFonts w:hint="default"/>
          <w:lang w:val="en-US" w:eastAsia="zh-CN"/>
        </w:rPr>
      </w:pPr>
      <w:bookmarkStart w:id="4" w:name="_Toc16043"/>
      <w:r>
        <w:rPr>
          <w:rFonts w:hint="default"/>
          <w:lang w:val="en-US" w:eastAsia="zh-CN"/>
        </w:rPr>
        <w:t>演练目的</w:t>
      </w:r>
      <w:bookmarkEnd w:id="4"/>
    </w:p>
    <w:p w14:paraId="4DAAC417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检验预案：验证《烟台林海嵎峡田综合体智慧农业大数据平台建设项目-应急预案》的科学性、实用性和可操作性，发现并修正其缺陷与不足。</w:t>
      </w:r>
    </w:p>
    <w:p w14:paraId="1CDC6F8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磨合机制：强化本项目应急组织体系（应急领导小组、执行、技术、后勤小组）内部及与公司常设部门（平台运维组、研发组、采购部、综合办公室）之间的协调联动与职责衔接，确保“平战结合”机制顺畅。</w:t>
      </w:r>
    </w:p>
    <w:p w14:paraId="417C9045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锻炼队伍：提升项目全体人员，特别是各应急小组成员的应急意识、风险识别、信息报告、快速响应和协同处置能力。</w:t>
      </w:r>
    </w:p>
    <w:p w14:paraId="009088EE">
      <w:pPr>
        <w:pStyle w:val="3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完善准备：检查并确保应急通讯、物资、技术等保障资源的有效性，熟悉应急流程。</w:t>
      </w:r>
    </w:p>
    <w:p w14:paraId="56E6416D">
      <w:pPr>
        <w:pStyle w:val="28"/>
        <w:bidi w:val="0"/>
        <w:rPr>
          <w:rFonts w:hint="default"/>
          <w:lang w:val="en-US" w:eastAsia="zh-CN"/>
        </w:rPr>
      </w:pPr>
      <w:bookmarkStart w:id="5" w:name="_Toc7340"/>
      <w:r>
        <w:rPr>
          <w:rFonts w:hint="default"/>
          <w:lang w:val="en-US" w:eastAsia="zh-CN"/>
        </w:rPr>
        <w:t>编制依据</w:t>
      </w:r>
      <w:bookmarkEnd w:id="5"/>
    </w:p>
    <w:p w14:paraId="4219604F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《烟台林海嵎峡田综合体智慧农业大数据平台建设项目-应急预案》。</w:t>
      </w:r>
    </w:p>
    <w:p w14:paraId="30FD6174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《烟台林海嵎峡田综合体智慧农业大数据平台建设项目-会议纪要》。</w:t>
      </w:r>
    </w:p>
    <w:p w14:paraId="6D209E72">
      <w:pPr>
        <w:pStyle w:val="39"/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《青岛瑞源工程集团有限公司组织架构及部门职责》。</w:t>
      </w:r>
    </w:p>
    <w:p w14:paraId="636B902D">
      <w:pPr>
        <w:pStyle w:val="28"/>
        <w:bidi w:val="0"/>
        <w:rPr>
          <w:rFonts w:hint="default"/>
          <w:lang w:val="en-US" w:eastAsia="zh-CN"/>
        </w:rPr>
      </w:pPr>
      <w:bookmarkStart w:id="6" w:name="_Toc18985"/>
      <w:r>
        <w:rPr>
          <w:rFonts w:hint="default"/>
          <w:lang w:val="en-US" w:eastAsia="zh-CN"/>
        </w:rPr>
        <w:t>演练原则</w:t>
      </w:r>
      <w:bookmarkEnd w:id="6"/>
    </w:p>
    <w:p w14:paraId="51380F55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结合实际、合理定位：紧密结合项目现阶段（设备安装调试期）的主要风险，设计贴近实战的演练场景。</w:t>
      </w:r>
    </w:p>
    <w:p w14:paraId="471356A6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着眼实战、讲求实效：以提高应急指挥协调能力、现场处置能力和后勤保障能力为重点，重视演练过程，追求演练效果。</w:t>
      </w:r>
    </w:p>
    <w:p w14:paraId="0D85ECEA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精心组织、确保安全：周密策划，制定并落实安全保障措施，确保演练参与人员、设备及环境安全。</w:t>
      </w:r>
    </w:p>
    <w:p w14:paraId="0D11D536">
      <w:pPr>
        <w:pStyle w:val="39"/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统筹规划、厉行节约：统筹规划应急演练活动，充分利用现有资源，提高应急演练效益。</w:t>
      </w:r>
    </w:p>
    <w:p w14:paraId="352AB3E3">
      <w:pPr>
        <w:pStyle w:val="28"/>
        <w:bidi w:val="0"/>
        <w:rPr>
          <w:rFonts w:hint="default"/>
          <w:lang w:val="en-US" w:eastAsia="zh-CN"/>
        </w:rPr>
      </w:pPr>
      <w:bookmarkStart w:id="7" w:name="_Toc26785"/>
      <w:r>
        <w:rPr>
          <w:rFonts w:hint="default"/>
          <w:lang w:val="en-US" w:eastAsia="zh-CN"/>
        </w:rPr>
        <w:t>演练概况</w:t>
      </w:r>
      <w:bookmarkEnd w:id="7"/>
    </w:p>
    <w:tbl>
      <w:tblPr>
        <w:tblStyle w:val="20"/>
        <w:tblW w:w="902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3"/>
        <w:gridCol w:w="8331"/>
      </w:tblGrid>
      <w:tr w14:paraId="7614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57874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bookmarkStart w:id="23" w:name="_GoBack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6AF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</w:t>
            </w:r>
          </w:p>
        </w:tc>
      </w:tr>
      <w:tr w14:paraId="17063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D274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演练名称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0AE1E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项目现场核心设备安装安全事故暨系统数据链路中断综合应急演练</w:t>
            </w:r>
          </w:p>
        </w:tc>
      </w:tr>
      <w:tr w14:paraId="67C71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D873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F094F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2025年6月15日（星期五） 14:00 - 16:30</w:t>
            </w:r>
          </w:p>
        </w:tc>
      </w:tr>
      <w:tr w14:paraId="54F0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36467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演练地点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0D9950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山东省烟台市牟平区项目现场（模拟主安装区域）</w:t>
            </w:r>
          </w:p>
        </w:tc>
      </w:tr>
      <w:tr w14:paraId="3637D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EC84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演练形式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32071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实战综合演练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（结合现场模拟与桌面推演）</w:t>
            </w:r>
          </w:p>
        </w:tc>
      </w:tr>
      <w:tr w14:paraId="011A0F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6AA6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演练级别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2FB28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项目级（II级响应）</w:t>
            </w:r>
          </w:p>
        </w:tc>
      </w:tr>
      <w:tr w14:paraId="3B20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94211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模拟事件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D5C4F1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模拟在安装核心磁盘阵列（DH-EVS5016S-V2）时发生人员轻微触电跌倒，同时因意外拉扯导致主干光缆（24芯）受损，造成数据中心网络中断的复合突发事件。</w:t>
            </w:r>
          </w:p>
        </w:tc>
      </w:tr>
      <w:bookmarkEnd w:id="23"/>
    </w:tbl>
    <w:p w14:paraId="44EBA429">
      <w:pPr>
        <w:pStyle w:val="28"/>
        <w:bidi w:val="0"/>
        <w:rPr>
          <w:rFonts w:hint="default"/>
          <w:lang w:val="en-US" w:eastAsia="zh-CN"/>
        </w:rPr>
      </w:pPr>
      <w:bookmarkStart w:id="8" w:name="_Toc24606"/>
      <w:r>
        <w:rPr>
          <w:rFonts w:hint="default"/>
          <w:lang w:val="en-US" w:eastAsia="zh-CN"/>
        </w:rPr>
        <w:t>演练组织与职责</w:t>
      </w:r>
      <w:bookmarkEnd w:id="8"/>
    </w:p>
    <w:p w14:paraId="176C4940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依据《应急预案》第2章建立演练指挥体系。</w:t>
      </w:r>
    </w:p>
    <w:p w14:paraId="26FB4B7F">
      <w:pPr>
        <w:pStyle w:val="30"/>
        <w:bidi w:val="0"/>
        <w:rPr>
          <w:rFonts w:hint="default"/>
          <w:lang w:val="en-US" w:eastAsia="zh-CN"/>
        </w:rPr>
      </w:pPr>
      <w:bookmarkStart w:id="9" w:name="_Toc27111"/>
      <w:r>
        <w:rPr>
          <w:rFonts w:hint="default"/>
          <w:lang w:val="en-US" w:eastAsia="zh-CN"/>
        </w:rPr>
        <w:t>项目应急领导小组</w:t>
      </w:r>
      <w:bookmarkEnd w:id="9"/>
    </w:p>
    <w:p w14:paraId="67E409B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总指挥：宋振（公司副总/项目经理）</w:t>
      </w:r>
    </w:p>
    <w:p w14:paraId="143726F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副总指挥：赵伟（甲方项目经理）</w:t>
      </w:r>
    </w:p>
    <w:p w14:paraId="09A9ACEF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成员：应急管理办公室主任、勘察测绘院经理、综合办公室经理</w:t>
      </w:r>
    </w:p>
    <w:p w14:paraId="33603BB8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职责：全面领导演练工作；批准演练方案；发布演练开始与结束指令；决策演练中的重大模拟处置措施；评估演练总体效果。</w:t>
      </w:r>
    </w:p>
    <w:p w14:paraId="1DB10ECD">
      <w:pPr>
        <w:pStyle w:val="30"/>
        <w:bidi w:val="0"/>
        <w:rPr>
          <w:rFonts w:hint="default"/>
          <w:lang w:val="en-US" w:eastAsia="zh-CN"/>
        </w:rPr>
      </w:pPr>
      <w:bookmarkStart w:id="10" w:name="_Toc255"/>
      <w:r>
        <w:rPr>
          <w:rFonts w:hint="default"/>
          <w:lang w:val="en-US" w:eastAsia="zh-CN"/>
        </w:rPr>
        <w:t>应急执行小组</w:t>
      </w:r>
      <w:bookmarkEnd w:id="10"/>
    </w:p>
    <w:p w14:paraId="157BAA41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组长：应急管理办公室-应急执行小组组长</w:t>
      </w:r>
    </w:p>
    <w:p w14:paraId="7C497CD9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成员：应急执行小组成员</w:t>
      </w:r>
    </w:p>
    <w:p w14:paraId="63434AE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职责：执行指挥部指令；模拟实施现场警戒、伤员救护（模拟）、先期断电、保护现场等处置动作；报告现场模拟情况。</w:t>
      </w:r>
    </w:p>
    <w:p w14:paraId="28CA3DCF">
      <w:pPr>
        <w:pStyle w:val="30"/>
        <w:bidi w:val="0"/>
        <w:rPr>
          <w:rFonts w:hint="default"/>
          <w:lang w:val="en-US" w:eastAsia="zh-CN"/>
        </w:rPr>
      </w:pPr>
      <w:bookmarkStart w:id="11" w:name="_Toc20178"/>
      <w:r>
        <w:rPr>
          <w:rFonts w:hint="default"/>
          <w:lang w:val="en-US" w:eastAsia="zh-CN"/>
        </w:rPr>
        <w:t>技术支持小组</w:t>
      </w:r>
      <w:bookmarkEnd w:id="11"/>
    </w:p>
    <w:p w14:paraId="426CC729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组长：应急管理办公室-技术支持小组组长</w:t>
      </w:r>
    </w:p>
    <w:p w14:paraId="081D8A7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副组长：平台运维组经理（张秀才）、研发组经理（陈云）</w:t>
      </w:r>
    </w:p>
    <w:p w14:paraId="065D184E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成员：平台运维组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、研发组</w:t>
      </w:r>
      <w:r>
        <w:rPr>
          <w:rFonts w:hint="eastAsia"/>
          <w:lang w:val="en-US" w:eastAsia="zh-CN"/>
        </w:rPr>
        <w:t>人员</w:t>
      </w:r>
      <w:r>
        <w:rPr>
          <w:rFonts w:hint="default"/>
          <w:lang w:val="en-US" w:eastAsia="zh-CN"/>
        </w:rPr>
        <w:t>、备件库</w:t>
      </w:r>
    </w:p>
    <w:p w14:paraId="6FB04E79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职责：模拟诊断网络故障；制定并模拟光缆熔接、设备检查方案；模拟调用备件库中的备用光缆；模拟验证系统恢复。</w:t>
      </w:r>
    </w:p>
    <w:p w14:paraId="09307FFD">
      <w:pPr>
        <w:pStyle w:val="30"/>
        <w:bidi w:val="0"/>
        <w:rPr>
          <w:rFonts w:hint="default"/>
          <w:lang w:val="en-US" w:eastAsia="zh-CN"/>
        </w:rPr>
      </w:pPr>
      <w:bookmarkStart w:id="12" w:name="_Toc23222"/>
      <w:r>
        <w:rPr>
          <w:rFonts w:hint="default"/>
          <w:lang w:val="en-US" w:eastAsia="zh-CN"/>
        </w:rPr>
        <w:t>后勤保障小组</w:t>
      </w:r>
      <w:bookmarkEnd w:id="12"/>
    </w:p>
    <w:p w14:paraId="14DEBE02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组长：综合办公室经理（吴常云）</w:t>
      </w:r>
    </w:p>
    <w:p w14:paraId="626911C5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副组长：应急管理办公室-后勤保障小组组长</w:t>
      </w:r>
    </w:p>
    <w:p w14:paraId="2B1AF4B3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成员：综合办公室、采购部、记录评估员</w:t>
      </w:r>
    </w:p>
    <w:p w14:paraId="46650286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</w:t>
      </w:r>
    </w:p>
    <w:p w14:paraId="4DB1C4C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保障：模拟联络医疗机构、保障演练物资、维护演练通讯。</w:t>
      </w:r>
    </w:p>
    <w:p w14:paraId="3225D495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评估：负责全程记录（文字、影像）；对照《演练评估表》对各环节进行评价；收集演练人员反馈；编写演练总结报告。</w:t>
      </w:r>
    </w:p>
    <w:p w14:paraId="0E124C79">
      <w:pPr>
        <w:pStyle w:val="28"/>
        <w:bidi w:val="0"/>
        <w:rPr>
          <w:rFonts w:hint="default"/>
          <w:lang w:val="en-US" w:eastAsia="zh-CN"/>
        </w:rPr>
      </w:pPr>
      <w:bookmarkStart w:id="13" w:name="_Toc2790"/>
      <w:r>
        <w:rPr>
          <w:rFonts w:hint="default"/>
          <w:lang w:val="en-US" w:eastAsia="zh-CN"/>
        </w:rPr>
        <w:t>演练场景与流程设计</w:t>
      </w:r>
      <w:bookmarkEnd w:id="13"/>
    </w:p>
    <w:p w14:paraId="74AD283C">
      <w:pPr>
        <w:pStyle w:val="30"/>
        <w:bidi w:val="0"/>
        <w:rPr>
          <w:rFonts w:hint="default"/>
          <w:lang w:val="en-US" w:eastAsia="zh-CN"/>
        </w:rPr>
      </w:pPr>
      <w:bookmarkStart w:id="14" w:name="_Toc8948"/>
      <w:r>
        <w:rPr>
          <w:rFonts w:hint="default"/>
          <w:lang w:val="en-US" w:eastAsia="zh-CN"/>
        </w:rPr>
        <w:t>场景初始化 (14:00-14:05)</w:t>
      </w:r>
      <w:bookmarkEnd w:id="14"/>
    </w:p>
    <w:p w14:paraId="701A3E20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各小组在指定位置就位，检查通讯设备。</w:t>
      </w:r>
    </w:p>
    <w:p w14:paraId="606C812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总指挥宣布演练目的、规则及安全注意事项。</w:t>
      </w:r>
    </w:p>
    <w:p w14:paraId="6DE1DCD3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模拟场景布置完成（设置警示牌模拟事故点、断开一条非关键光缆模拟中断）。</w:t>
      </w:r>
    </w:p>
    <w:p w14:paraId="655002E2">
      <w:pPr>
        <w:pStyle w:val="30"/>
        <w:bidi w:val="0"/>
        <w:rPr>
          <w:rFonts w:hint="default"/>
          <w:lang w:val="en-US" w:eastAsia="zh-CN"/>
        </w:rPr>
      </w:pPr>
      <w:bookmarkStart w:id="15" w:name="_Toc13407"/>
      <w:r>
        <w:rPr>
          <w:rFonts w:hint="default"/>
          <w:lang w:val="en-US" w:eastAsia="zh-CN"/>
        </w:rPr>
        <w:t>事件发生与信息报告 (14:05-14:15)</w:t>
      </w:r>
      <w:bookmarkEnd w:id="15"/>
    </w:p>
    <w:p w14:paraId="044D94A1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触发：现场演练组模拟报告：“报告指挥中心，A区数据中心在安装磁盘阵列时，一名电工不慎触电跌倒，手臂灼伤，意识清醒。同时，附近一束24芯主干光缆被梯子砸断，网络监控显示核心链路中断！”</w:t>
      </w:r>
    </w:p>
    <w:p w14:paraId="08342B8E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报告：现场安全员 → 现场演练组长 → 乙方项目经理（宋振）。</w:t>
      </w:r>
    </w:p>
    <w:p w14:paraId="7851BB64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升级：乙方项目经理（宋振）立即向演练指挥部总指挥及甲方项目经理（赵伟）进行模拟报告（1小时内书面报告形式展示）。</w:t>
      </w:r>
    </w:p>
    <w:p w14:paraId="157202F9">
      <w:pPr>
        <w:pStyle w:val="30"/>
        <w:bidi w:val="0"/>
        <w:rPr>
          <w:rFonts w:hint="default"/>
          <w:lang w:val="en-US" w:eastAsia="zh-CN"/>
        </w:rPr>
      </w:pPr>
      <w:bookmarkStart w:id="16" w:name="_Toc14605"/>
      <w:r>
        <w:rPr>
          <w:rFonts w:hint="default"/>
          <w:lang w:val="en-US" w:eastAsia="zh-CN"/>
        </w:rPr>
        <w:t>应急启动与先期处置 (14:15-14:30)</w:t>
      </w:r>
      <w:bookmarkEnd w:id="16"/>
    </w:p>
    <w:p w14:paraId="3BA6469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指挥决策：总指挥宣布启动II级应急响应，指令各小组按预案展开。</w:t>
      </w:r>
    </w:p>
    <w:p w14:paraId="1B6C9A4F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现场处置：</w:t>
      </w:r>
    </w:p>
    <w:p w14:paraId="1EF06E4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现场演练组：模拟切断区域电源、设置警戒线、用担架将“伤员”转移至安全通风处并进行模拟包扎救护、保护故障设备及断点。</w:t>
      </w:r>
    </w:p>
    <w:p w14:paraId="56B4F7B8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后勤保障组：模拟拨打120、准备应急车辆通道。</w:t>
      </w:r>
    </w:p>
    <w:p w14:paraId="5B34E095">
      <w:pPr>
        <w:pStyle w:val="30"/>
        <w:bidi w:val="0"/>
        <w:rPr>
          <w:rFonts w:hint="default"/>
          <w:lang w:val="en-US" w:eastAsia="zh-CN"/>
        </w:rPr>
      </w:pPr>
      <w:bookmarkStart w:id="17" w:name="_Toc28454"/>
      <w:r>
        <w:rPr>
          <w:rFonts w:hint="default"/>
          <w:lang w:val="en-US" w:eastAsia="zh-CN"/>
        </w:rPr>
        <w:t>技术研判与协同处置 (14:30-15:30)</w:t>
      </w:r>
      <w:bookmarkEnd w:id="17"/>
    </w:p>
    <w:p w14:paraId="49F8CC3F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技术介入：</w:t>
      </w:r>
      <w:r>
        <w:rPr>
          <w:rFonts w:hint="eastAsia"/>
          <w:lang w:val="en-US" w:eastAsia="zh-CN"/>
        </w:rPr>
        <w:t>技术支持小组</w:t>
      </w:r>
      <w:r>
        <w:rPr>
          <w:rFonts w:hint="default"/>
          <w:lang w:val="en-US" w:eastAsia="zh-CN"/>
        </w:rPr>
        <w:t>抵达现场。</w:t>
      </w:r>
    </w:p>
    <w:p w14:paraId="5D4F2A80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平台运维组：模拟使用OTDR检测光缆断点，制定熔接方案。备件库管理员模拟领取备用光缆。</w:t>
      </w:r>
    </w:p>
    <w:p w14:paraId="01EB2B66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研发组：模拟检查大数据平台服务状态，确认数据写入异常，启动临时日志保护措施。</w:t>
      </w:r>
    </w:p>
    <w:p w14:paraId="6886006D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协同抢修：模拟光缆熔接、链路测试、核心设备上电检查。（此阶段可实际进行简单的光缆熔接演示）。</w:t>
      </w:r>
    </w:p>
    <w:p w14:paraId="524AF658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资源调配：后勤保障组模拟响应技术组需求，协调采购部查询紧急备件货源。</w:t>
      </w:r>
    </w:p>
    <w:p w14:paraId="31DB82C1">
      <w:pPr>
        <w:pStyle w:val="30"/>
        <w:bidi w:val="0"/>
        <w:rPr>
          <w:rFonts w:hint="default"/>
          <w:lang w:val="en-US" w:eastAsia="zh-CN"/>
        </w:rPr>
      </w:pPr>
      <w:bookmarkStart w:id="18" w:name="_Toc29600"/>
      <w:r>
        <w:rPr>
          <w:rFonts w:hint="default"/>
          <w:lang w:val="en-US" w:eastAsia="zh-CN"/>
        </w:rPr>
        <w:t>系统恢复与演练终止 (15:30-16:00)</w:t>
      </w:r>
      <w:bookmarkEnd w:id="18"/>
    </w:p>
    <w:p w14:paraId="19D8556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恢复验证：</w:t>
      </w:r>
      <w:r>
        <w:rPr>
          <w:rFonts w:hint="eastAsia"/>
          <w:lang w:val="en-US" w:eastAsia="zh-CN"/>
        </w:rPr>
        <w:t>技术支持组</w:t>
      </w:r>
      <w:r>
        <w:rPr>
          <w:rFonts w:hint="default"/>
          <w:lang w:val="en-US" w:eastAsia="zh-CN"/>
        </w:rPr>
        <w:t>模拟报告：“主干光缆修复完成，网络链路恢复正常，磁盘阵列重启完毕，数据服务正在恢复中...所有核心服务验证正常。”</w:t>
      </w:r>
    </w:p>
    <w:p w14:paraId="5FF51C11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结束指令：现场演练组报告现场已清理，安全隐患排除。总指挥宣布应急响应终止，演练核心环节结束。</w:t>
      </w:r>
    </w:p>
    <w:p w14:paraId="16AA4DB2">
      <w:pPr>
        <w:pStyle w:val="30"/>
        <w:bidi w:val="0"/>
        <w:rPr>
          <w:rFonts w:hint="default"/>
          <w:lang w:val="en-US" w:eastAsia="zh-CN"/>
        </w:rPr>
      </w:pPr>
      <w:bookmarkStart w:id="19" w:name="_Toc22608"/>
      <w:r>
        <w:rPr>
          <w:rFonts w:hint="default"/>
          <w:lang w:val="en-US" w:eastAsia="zh-CN"/>
        </w:rPr>
        <w:t>总结与点评 (16:00-16:30)</w:t>
      </w:r>
      <w:bookmarkEnd w:id="19"/>
    </w:p>
    <w:p w14:paraId="0232A81E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各小组在指定地点集合。</w:t>
      </w:r>
    </w:p>
    <w:p w14:paraId="2AB5F51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各组长简要汇报演练体会与发现的问题。</w:t>
      </w:r>
    </w:p>
    <w:p w14:paraId="1065CBD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评估组提交初步观察记录。</w:t>
      </w:r>
    </w:p>
    <w:p w14:paraId="25649DF4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总指挥、副总指挥对演练进行总结点评。</w:t>
      </w:r>
    </w:p>
    <w:p w14:paraId="5174415F">
      <w:pPr>
        <w:pStyle w:val="28"/>
        <w:bidi w:val="0"/>
        <w:rPr>
          <w:rFonts w:hint="default"/>
          <w:lang w:val="en-US" w:eastAsia="zh-CN"/>
        </w:rPr>
      </w:pPr>
      <w:bookmarkStart w:id="20" w:name="_Toc24733"/>
      <w:r>
        <w:rPr>
          <w:rFonts w:hint="default"/>
          <w:lang w:val="en-US" w:eastAsia="zh-CN"/>
        </w:rPr>
        <w:t>演练评估标准</w:t>
      </w:r>
      <w:bookmarkEnd w:id="20"/>
    </w:p>
    <w:p w14:paraId="2D9A6036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评估组将依据以下关键点进行评估：</w:t>
      </w:r>
    </w:p>
    <w:p w14:paraId="14D62412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信息报告：是否及时、准确、完整，流程是否符合预案。</w:t>
      </w:r>
    </w:p>
    <w:p w14:paraId="14ACF839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应急启动：响应级别是否得当，指挥决策是否迅速。</w:t>
      </w:r>
    </w:p>
    <w:p w14:paraId="413AB781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现场处置：先期处置措施是否科学、安全、有效。</w:t>
      </w:r>
    </w:p>
    <w:p w14:paraId="5ED3B464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协同联动：各组之间沟通是否顺畅，职责是否清晰，支援是否到位。</w:t>
      </w:r>
    </w:p>
    <w:p w14:paraId="396F0E0A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技术能力：故障诊断是否准确，处置方案是否合理，备件调用流程是否熟悉。</w:t>
      </w:r>
    </w:p>
    <w:p w14:paraId="3F860770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后勤保障：通讯是否畅通，资源调配模拟是否合理。</w:t>
      </w:r>
    </w:p>
    <w:p w14:paraId="3BAFCF4B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文档记录：过程记录是否完整。</w:t>
      </w:r>
    </w:p>
    <w:p w14:paraId="2D288D90">
      <w:pPr>
        <w:pStyle w:val="28"/>
        <w:bidi w:val="0"/>
        <w:rPr>
          <w:rFonts w:hint="default"/>
          <w:lang w:val="en-US" w:eastAsia="zh-CN"/>
        </w:rPr>
      </w:pPr>
      <w:bookmarkStart w:id="21" w:name="_Toc16012"/>
      <w:r>
        <w:rPr>
          <w:rFonts w:hint="default"/>
          <w:lang w:val="en-US" w:eastAsia="zh-CN"/>
        </w:rPr>
        <w:t>准备工作与保障措施</w:t>
      </w:r>
      <w:bookmarkEnd w:id="21"/>
    </w:p>
    <w:p w14:paraId="4AC5D5DD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物资准备：模拟伤员标识、警戒带、担架、急救箱（模拟）、对讲机、演练场景标识牌、备用光缆及熔接设备（演示用）、评估表格、摄像器材。</w:t>
      </w:r>
    </w:p>
    <w:p w14:paraId="4D6DABE5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通讯保障：建立演练专用通讯频道（微信群/对讲机频道），确保指令畅通。</w:t>
      </w:r>
    </w:p>
    <w:p w14:paraId="299DFC4F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安全保障：演练前进行安全交底，明确所有模拟动作，确保不进行真实带电作业，现场安排专职安全员。</w:t>
      </w:r>
    </w:p>
    <w:p w14:paraId="6BA53CA2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通知与培训：提前一周下发本方案，组织所有参演人员学习预案与本方案。</w:t>
      </w:r>
    </w:p>
    <w:p w14:paraId="0E34AB77">
      <w:pPr>
        <w:pStyle w:val="28"/>
        <w:bidi w:val="0"/>
        <w:rPr>
          <w:rFonts w:hint="default"/>
          <w:lang w:val="en-US" w:eastAsia="zh-CN"/>
        </w:rPr>
      </w:pPr>
      <w:bookmarkStart w:id="22" w:name="_Toc12907"/>
      <w:r>
        <w:rPr>
          <w:rFonts w:hint="default"/>
          <w:lang w:val="en-US" w:eastAsia="zh-CN"/>
        </w:rPr>
        <w:t>后续工作</w:t>
      </w:r>
      <w:bookmarkEnd w:id="22"/>
    </w:p>
    <w:p w14:paraId="5382DF07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演练评估报告：后勤保障与评估组在演练结束后3个工作日内，完成《应急演练总结评估报告》，报</w:t>
      </w:r>
      <w:r>
        <w:rPr>
          <w:rFonts w:hint="eastAsia"/>
          <w:lang w:val="en-US" w:eastAsia="zh-CN"/>
        </w:rPr>
        <w:t>管理者代表</w:t>
      </w:r>
      <w:r>
        <w:rPr>
          <w:rFonts w:hint="default"/>
          <w:lang w:val="en-US" w:eastAsia="zh-CN"/>
        </w:rPr>
        <w:t>审批。</w:t>
      </w:r>
    </w:p>
    <w:p w14:paraId="3C5582B1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预案修订：根据演练评估中发现的问题，由应急管理办公室负责组织对《应急预案》进行必要的修订和完善。</w:t>
      </w:r>
    </w:p>
    <w:p w14:paraId="2ED352AC">
      <w:pPr>
        <w:pStyle w:val="3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资料归档：本方案、演练记录、评估报告、影像资料等一并归档保存。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0996DCB8"/>
    <w:multiLevelType w:val="singleLevel"/>
    <w:tmpl w:val="0996D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2E23082"/>
    <w:multiLevelType w:val="singleLevel"/>
    <w:tmpl w:val="22E230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D83EA83"/>
    <w:multiLevelType w:val="singleLevel"/>
    <w:tmpl w:val="7D83EA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247ACE"/>
    <w:rsid w:val="03724869"/>
    <w:rsid w:val="03870314"/>
    <w:rsid w:val="03E72A70"/>
    <w:rsid w:val="040354C1"/>
    <w:rsid w:val="050D2A9B"/>
    <w:rsid w:val="05F15F19"/>
    <w:rsid w:val="08BD778E"/>
    <w:rsid w:val="09B23C11"/>
    <w:rsid w:val="0C210BDA"/>
    <w:rsid w:val="126F6B43"/>
    <w:rsid w:val="13DA623E"/>
    <w:rsid w:val="161A6DC6"/>
    <w:rsid w:val="176D1177"/>
    <w:rsid w:val="190569E4"/>
    <w:rsid w:val="1A22449B"/>
    <w:rsid w:val="1A252DD1"/>
    <w:rsid w:val="1AE67F2F"/>
    <w:rsid w:val="1B2F121A"/>
    <w:rsid w:val="1C470054"/>
    <w:rsid w:val="1F210279"/>
    <w:rsid w:val="20121328"/>
    <w:rsid w:val="21FA5CFD"/>
    <w:rsid w:val="257412D0"/>
    <w:rsid w:val="25ED0053"/>
    <w:rsid w:val="265F25D3"/>
    <w:rsid w:val="28B11632"/>
    <w:rsid w:val="2BB92785"/>
    <w:rsid w:val="2C0B1233"/>
    <w:rsid w:val="2DFE28CF"/>
    <w:rsid w:val="2FB93331"/>
    <w:rsid w:val="301A5EE8"/>
    <w:rsid w:val="328A3DB3"/>
    <w:rsid w:val="35357321"/>
    <w:rsid w:val="365B4B65"/>
    <w:rsid w:val="37022D4B"/>
    <w:rsid w:val="393D3428"/>
    <w:rsid w:val="39FA0479"/>
    <w:rsid w:val="3A157721"/>
    <w:rsid w:val="3BF25A84"/>
    <w:rsid w:val="3F744EE9"/>
    <w:rsid w:val="3FB84DD6"/>
    <w:rsid w:val="41984EBF"/>
    <w:rsid w:val="44E82747"/>
    <w:rsid w:val="459C69D7"/>
    <w:rsid w:val="45ED50AE"/>
    <w:rsid w:val="46660D45"/>
    <w:rsid w:val="467D3251"/>
    <w:rsid w:val="47D633D4"/>
    <w:rsid w:val="4C1E4213"/>
    <w:rsid w:val="4D01701D"/>
    <w:rsid w:val="4E2F4B6D"/>
    <w:rsid w:val="4E7650B5"/>
    <w:rsid w:val="4F04359A"/>
    <w:rsid w:val="506A3ECB"/>
    <w:rsid w:val="50A54334"/>
    <w:rsid w:val="51016E91"/>
    <w:rsid w:val="53F12868"/>
    <w:rsid w:val="55AC417C"/>
    <w:rsid w:val="56451002"/>
    <w:rsid w:val="575E405D"/>
    <w:rsid w:val="58BD495C"/>
    <w:rsid w:val="59B461B6"/>
    <w:rsid w:val="59C06B56"/>
    <w:rsid w:val="5B791466"/>
    <w:rsid w:val="5BA34735"/>
    <w:rsid w:val="5DED1ED3"/>
    <w:rsid w:val="5F7F6E06"/>
    <w:rsid w:val="5FA740F0"/>
    <w:rsid w:val="622506F4"/>
    <w:rsid w:val="64947DE6"/>
    <w:rsid w:val="660467D5"/>
    <w:rsid w:val="66212E26"/>
    <w:rsid w:val="666A657B"/>
    <w:rsid w:val="674B5BB6"/>
    <w:rsid w:val="675F0B6A"/>
    <w:rsid w:val="68260D20"/>
    <w:rsid w:val="69A24DB9"/>
    <w:rsid w:val="6A484092"/>
    <w:rsid w:val="6A6E1C7B"/>
    <w:rsid w:val="6CA67BE1"/>
    <w:rsid w:val="6FAA5C3A"/>
    <w:rsid w:val="6FF00FE8"/>
    <w:rsid w:val="70397BC9"/>
    <w:rsid w:val="75B415C0"/>
    <w:rsid w:val="76F115AC"/>
    <w:rsid w:val="775E2302"/>
    <w:rsid w:val="7C961A20"/>
    <w:rsid w:val="7CDE5175"/>
    <w:rsid w:val="7D7B6E68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2752</Words>
  <Characters>2956</Characters>
  <Lines>0</Lines>
  <Paragraphs>0</Paragraphs>
  <TotalTime>0</TotalTime>
  <ScaleCrop>false</ScaleCrop>
  <LinksUpToDate>false</LinksUpToDate>
  <CharactersWithSpaces>3043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2025-12-22T17:54:48Z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