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E94734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10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</w:p>
    <w:p w14:paraId="59C2E9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2E29CE35">
      <w:pPr>
        <w:pStyle w:val="24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0" w:name="_Toc20834"/>
      <w:bookmarkStart w:id="1" w:name="_Toc30823"/>
      <w:r>
        <w:rPr>
          <w:rFonts w:hint="eastAsia"/>
          <w:lang w:val="en-US" w:eastAsia="zh-CN"/>
        </w:rPr>
        <w:t>青岛瑞源工程集团有限公司</w:t>
      </w:r>
      <w:bookmarkEnd w:id="0"/>
      <w:bookmarkEnd w:id="1"/>
    </w:p>
    <w:p w14:paraId="46AF71D3">
      <w:pPr>
        <w:pStyle w:val="25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/>
        </w:rPr>
      </w:pPr>
      <w:bookmarkStart w:id="2" w:name="_Toc20245"/>
      <w:bookmarkStart w:id="3" w:name="_Toc30782"/>
      <w:r>
        <w:rPr>
          <w:rFonts w:hint="eastAsia"/>
          <w:lang w:val="en-US" w:eastAsia="zh-CN"/>
        </w:rPr>
        <w:t>烟台林海嵎峡田综合体智慧农业大数据平台建设项目-</w:t>
      </w:r>
      <w:bookmarkEnd w:id="2"/>
      <w:r>
        <w:rPr>
          <w:rFonts w:hint="eastAsia"/>
          <w:lang w:val="en-US" w:eastAsia="zh-CN"/>
        </w:rPr>
        <w:t>应急演练报告</w:t>
      </w:r>
      <w:bookmarkEnd w:id="3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7B3F8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12E6555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张秀才</w:t>
            </w:r>
          </w:p>
        </w:tc>
        <w:tc>
          <w:tcPr>
            <w:tcW w:w="4261" w:type="dxa"/>
          </w:tcPr>
          <w:p w14:paraId="2A49AF25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2025.06.18</w:t>
            </w:r>
          </w:p>
        </w:tc>
      </w:tr>
      <w:tr w14:paraId="657B1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13DE43C7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宋振</w:t>
            </w:r>
          </w:p>
        </w:tc>
        <w:tc>
          <w:tcPr>
            <w:tcW w:w="4261" w:type="dxa"/>
            <w:shd w:val="clear" w:color="auto" w:fill="auto"/>
          </w:tcPr>
          <w:p w14:paraId="282A5A0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2025.06.18</w:t>
            </w:r>
          </w:p>
        </w:tc>
      </w:tr>
      <w:tr w14:paraId="1DC93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6DEC131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62C309F2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2025.06.18</w:t>
            </w:r>
          </w:p>
        </w:tc>
      </w:tr>
    </w:tbl>
    <w:p w14:paraId="7EDC164F">
      <w:pPr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br w:type="page"/>
      </w:r>
    </w:p>
    <w:p w14:paraId="4D6AFCDE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0729D8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3042077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04E9DBF8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3088DDA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32213392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1A9EAE91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6649FB5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CD278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8842121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67" w:lineRule="exact"/>
              <w:ind w:left="260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18</w:t>
            </w:r>
          </w:p>
        </w:tc>
        <w:tc>
          <w:tcPr>
            <w:tcW w:w="919" w:type="dxa"/>
          </w:tcPr>
          <w:p w14:paraId="513F8673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59AF973F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3B3691DC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张秀才</w:t>
            </w:r>
          </w:p>
        </w:tc>
        <w:tc>
          <w:tcPr>
            <w:tcW w:w="1150" w:type="dxa"/>
          </w:tcPr>
          <w:p w14:paraId="561761A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宋振</w:t>
            </w:r>
          </w:p>
        </w:tc>
        <w:tc>
          <w:tcPr>
            <w:tcW w:w="1240" w:type="dxa"/>
          </w:tcPr>
          <w:p w14:paraId="4EF9C2A2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1B48BD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A8E5C66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919" w:type="dxa"/>
          </w:tcPr>
          <w:p w14:paraId="49810388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2289" w:type="dxa"/>
          </w:tcPr>
          <w:p w14:paraId="348AC70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48" w:type="dxa"/>
          </w:tcPr>
          <w:p w14:paraId="4A206BA5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4FFD1CDE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6B0C3FCF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</w:tr>
      <w:tr w14:paraId="4EB922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AB08750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919" w:type="dxa"/>
          </w:tcPr>
          <w:p w14:paraId="6ABEB3B8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2289" w:type="dxa"/>
          </w:tcPr>
          <w:p w14:paraId="146D13D8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48" w:type="dxa"/>
          </w:tcPr>
          <w:p w14:paraId="41E67249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49A7B52F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224B172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</w:tr>
      <w:tr w14:paraId="1195B6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412A6ADD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919" w:type="dxa"/>
          </w:tcPr>
          <w:p w14:paraId="3C1BFBAC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2289" w:type="dxa"/>
          </w:tcPr>
          <w:p w14:paraId="354B76C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48" w:type="dxa"/>
          </w:tcPr>
          <w:p w14:paraId="3B0A7983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50" w:type="dxa"/>
          </w:tcPr>
          <w:p w14:paraId="776FCE3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240" w:type="dxa"/>
          </w:tcPr>
          <w:p w14:paraId="5B7EC584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</w:tr>
      <w:tr w14:paraId="55C7F5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9FFACF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919" w:type="dxa"/>
          </w:tcPr>
          <w:p w14:paraId="57995E07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2289" w:type="dxa"/>
          </w:tcPr>
          <w:p w14:paraId="3581D3E3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48" w:type="dxa"/>
          </w:tcPr>
          <w:p w14:paraId="202D5C3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50" w:type="dxa"/>
          </w:tcPr>
          <w:p w14:paraId="15D94E24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240" w:type="dxa"/>
          </w:tcPr>
          <w:p w14:paraId="7E766ACC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</w:tr>
      <w:tr w14:paraId="565159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5120D90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919" w:type="dxa"/>
          </w:tcPr>
          <w:p w14:paraId="3A0C478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2289" w:type="dxa"/>
          </w:tcPr>
          <w:p w14:paraId="7BDA32D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48" w:type="dxa"/>
          </w:tcPr>
          <w:p w14:paraId="7EA034D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50" w:type="dxa"/>
          </w:tcPr>
          <w:p w14:paraId="026A3BE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240" w:type="dxa"/>
          </w:tcPr>
          <w:p w14:paraId="21963CDB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</w:tr>
    </w:tbl>
    <w:p w14:paraId="18ADB9E4">
      <w:pPr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DF7BB2D">
          <w:pPr>
            <w:keepNext w:val="0"/>
            <w:keepLines w:val="0"/>
            <w:pageBreakBefore w:val="0"/>
            <w:widowControl w:val="0"/>
            <w:wordWrap/>
            <w:overflowPunct/>
            <w:topLinePunct w:val="0"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2F2BC1D">
          <w:pPr>
            <w:keepNext w:val="0"/>
            <w:keepLines w:val="0"/>
            <w:pageBreakBefore w:val="0"/>
            <w:widowControl w:val="0"/>
            <w:wordWrap/>
            <w:overflowPunct/>
            <w:topLinePunct w:val="0"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</w:p>
        <w:p w14:paraId="6AEF32F3">
          <w:pPr>
            <w:pStyle w:val="16"/>
            <w:tabs>
              <w:tab w:val="right" w:leader="dot" w:pos="8306"/>
            </w:tabs>
          </w:pPr>
          <w:bookmarkStart w:id="12" w:name="_GoBack"/>
          <w:bookmarkEnd w:id="12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_Toc30823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_Toc30823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A82B5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_Toc30782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烟台林海嵎峡田综合体智慧农业大数据平台建设项目-应急演练报告</w:t>
          </w:r>
          <w:r>
            <w:tab/>
          </w:r>
          <w:r>
            <w:fldChar w:fldCharType="begin"/>
          </w:r>
          <w:r>
            <w:instrText xml:space="preserve"> PAGEREF _Toc30782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785D2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_Toc12930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摘要</w:t>
          </w:r>
          <w:r>
            <w:tab/>
          </w:r>
          <w:r>
            <w:fldChar w:fldCharType="begin"/>
          </w:r>
          <w:r>
            <w:instrText xml:space="preserve"> PAGEREF _Toc12930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EDE08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_Toc32330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演练概况</w:t>
          </w:r>
          <w:r>
            <w:tab/>
          </w:r>
          <w:r>
            <w:fldChar w:fldCharType="begin"/>
          </w:r>
          <w:r>
            <w:instrText xml:space="preserve"> PAGEREF _Toc32330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7FFC7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_Toc29542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编制依据</w:t>
          </w:r>
          <w:r>
            <w:tab/>
          </w:r>
          <w:r>
            <w:fldChar w:fldCharType="begin"/>
          </w:r>
          <w:r>
            <w:instrText xml:space="preserve"> PAGEREF _Toc29542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6901C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_Toc29226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演练实施情况回顾</w:t>
          </w:r>
          <w:r>
            <w:tab/>
          </w:r>
          <w:r>
            <w:fldChar w:fldCharType="begin"/>
          </w:r>
          <w:r>
            <w:instrText xml:space="preserve"> PAGEREF _Toc29226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09099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_Toc25928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演练评估与分析</w:t>
          </w:r>
          <w:r>
            <w:tab/>
          </w:r>
          <w:r>
            <w:fldChar w:fldCharType="begin"/>
          </w:r>
          <w:r>
            <w:instrText xml:space="preserve"> PAGEREF _Toc25928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4A7B4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_Toc24730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目标达成情况评估</w:t>
          </w:r>
          <w:r>
            <w:tab/>
          </w:r>
          <w:r>
            <w:fldChar w:fldCharType="begin"/>
          </w:r>
          <w:r>
            <w:instrText xml:space="preserve"> PAGEREF _Toc24730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136A9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_Toc18386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关键环节能力评估</w:t>
          </w:r>
          <w:r>
            <w:tab/>
          </w:r>
          <w:r>
            <w:fldChar w:fldCharType="begin"/>
          </w:r>
          <w:r>
            <w:instrText xml:space="preserve"> PAGEREF _Toc18386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CD51A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_Toc16662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问题与改进</w:t>
          </w:r>
          <w:r>
            <w:tab/>
          </w:r>
          <w:r>
            <w:fldChar w:fldCharType="begin"/>
          </w:r>
          <w:r>
            <w:instrText xml:space="preserve"> PAGEREF _Toc16662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1AC6FA">
          <w:pPr>
            <w:keepNext w:val="0"/>
            <w:keepLines w:val="0"/>
            <w:pageBreakBefore w:val="0"/>
            <w:widowControl w:val="0"/>
            <w:wordWrap/>
            <w:overflowPunct/>
            <w:topLinePunct w:val="0"/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62A1F8D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A7758E4">
      <w:pPr>
        <w:pStyle w:val="28"/>
        <w:bidi w:val="0"/>
        <w:rPr>
          <w:rFonts w:hint="default"/>
          <w:lang w:val="en-US" w:eastAsia="zh-CN"/>
        </w:rPr>
      </w:pPr>
      <w:bookmarkStart w:id="4" w:name="_Toc12930"/>
      <w:r>
        <w:rPr>
          <w:rFonts w:hint="default"/>
          <w:lang w:val="en-US" w:eastAsia="zh-CN"/>
        </w:rPr>
        <w:t>摘要</w:t>
      </w:r>
      <w:bookmarkEnd w:id="4"/>
    </w:p>
    <w:p w14:paraId="4D3B7AF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演练于2025年6月15日按计划成功实施。演练模拟了“设备安装触电+主干光缆中断”的复合突发事件，全面检验了《项目应急预案》的可行性及各应急小组的协同作战能力。总体来看，演练组织有序、响应迅速、处置有效，基本达到了“检验预案、磨合机制、锻炼队伍、完善准备”的预设目标。演练同时暴露了设备性能、流程细节等方面存在的3项具体问题，并提出相应改进建议。本报告建议批准所述改进项，并据此对应急预案进行针对性修订。</w:t>
      </w:r>
    </w:p>
    <w:p w14:paraId="302494B3">
      <w:pPr>
        <w:pStyle w:val="28"/>
        <w:bidi w:val="0"/>
        <w:rPr>
          <w:rFonts w:hint="default"/>
          <w:lang w:val="en-US" w:eastAsia="zh-CN"/>
        </w:rPr>
      </w:pPr>
      <w:bookmarkStart w:id="5" w:name="_Toc32330"/>
      <w:r>
        <w:rPr>
          <w:rFonts w:hint="default"/>
          <w:lang w:val="en-US" w:eastAsia="zh-CN"/>
        </w:rPr>
        <w:t>演练概况</w:t>
      </w:r>
      <w:bookmarkEnd w:id="5"/>
    </w:p>
    <w:p w14:paraId="6E17A1E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演练名称：项目现场核心设备安装安全事故暨系统数据链路中断综合应急演练</w:t>
      </w:r>
    </w:p>
    <w:p w14:paraId="5F9A5F2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演练时间：2025年6月15日 14:00 - 16:30</w:t>
      </w:r>
    </w:p>
    <w:p w14:paraId="7CB2C8E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演练地点：山东省烟台市牟平区项目现场A区</w:t>
      </w:r>
    </w:p>
    <w:p w14:paraId="6D5F515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演练形式：实战综合演练（结合现场模拟与桌面推演）</w:t>
      </w:r>
    </w:p>
    <w:p w14:paraId="00A686C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演练级别：项目级（II级响应）</w:t>
      </w:r>
    </w:p>
    <w:p w14:paraId="6B3EB66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参演人员：共计22人，来自应急管理办公室、勘察测绘院（平台运维组、研发组）、综合办公室及甲方代表。</w:t>
      </w:r>
    </w:p>
    <w:p w14:paraId="3596046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模拟场景：在安装核心磁盘阵列时发生人员轻微触电，同时因意外导致24芯主干光缆受损，造成业务网络中断。</w:t>
      </w:r>
    </w:p>
    <w:p w14:paraId="2B4954E6">
      <w:pPr>
        <w:pStyle w:val="28"/>
        <w:bidi w:val="0"/>
        <w:rPr>
          <w:rFonts w:hint="default"/>
          <w:lang w:val="en-US" w:eastAsia="zh-CN"/>
        </w:rPr>
      </w:pPr>
      <w:bookmarkStart w:id="6" w:name="_Toc29542"/>
      <w:r>
        <w:rPr>
          <w:rFonts w:hint="default"/>
          <w:lang w:val="en-US" w:eastAsia="zh-CN"/>
        </w:rPr>
        <w:t>编制依据</w:t>
      </w:r>
      <w:bookmarkEnd w:id="6"/>
    </w:p>
    <w:p w14:paraId="0ECA948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《烟台林海嵎峡田综合体智慧农业大数据平台建设项目-应急预案》</w:t>
      </w:r>
    </w:p>
    <w:p w14:paraId="4190947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《烟台林海嵎峡田综合体智慧农业大数据平台建设项目-应急演练实施方案》</w:t>
      </w:r>
    </w:p>
    <w:p w14:paraId="75D69A7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《烟台林海嵎峡田综合体智慧农业大数据平台建设项目-应急实施计划》</w:t>
      </w:r>
    </w:p>
    <w:p w14:paraId="535975C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《烟台林海嵎峡田综合体智慧农业大数据平台建设项目-应急演练记录》</w:t>
      </w:r>
    </w:p>
    <w:p w14:paraId="51CA6F96">
      <w:pPr>
        <w:pStyle w:val="28"/>
        <w:bidi w:val="0"/>
        <w:rPr>
          <w:rFonts w:hint="default"/>
          <w:lang w:val="en-US" w:eastAsia="zh-CN"/>
        </w:rPr>
      </w:pPr>
      <w:bookmarkStart w:id="7" w:name="_Toc29226"/>
      <w:r>
        <w:rPr>
          <w:rFonts w:hint="default"/>
          <w:lang w:val="en-US" w:eastAsia="zh-CN"/>
        </w:rPr>
        <w:t>演练实施情况回顾</w:t>
      </w:r>
      <w:bookmarkEnd w:id="7"/>
    </w:p>
    <w:p w14:paraId="0BC3BB9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演练严格遵循《应急实施计划》设定的流程展开，共分为六个阶段：</w:t>
      </w:r>
    </w:p>
    <w:p w14:paraId="784452E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初始化与事件触发：各小组准时就位，事件模拟逼真，信息触发准确。</w:t>
      </w:r>
    </w:p>
    <w:p w14:paraId="74F9367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信息报告与应急启动：现场至指挥部的信息报告链路通畅，用时约5分钟，符合预案小于30分钟的要求；总指挥决策果断，II级响应启动正确。</w:t>
      </w:r>
    </w:p>
    <w:p w14:paraId="1524593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先期处置：现场组迅速完成模拟断电、警戒、伤员救护，步骤规范；后勤组模拟外部联络流程完整、合规。</w:t>
      </w:r>
    </w:p>
    <w:p w14:paraId="620F4BC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技术研判与协同处置：技术组诊断准确，备件调用流程熟练，并成功完成真实的光缆熔接操作；跨部门（技术、后勤、采购）协同顺畅。</w:t>
      </w:r>
    </w:p>
    <w:p w14:paraId="4240844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恢复与终止：系统恢复验证报告全面，现场清理及时，响应终止指令清晰。</w:t>
      </w:r>
    </w:p>
    <w:p w14:paraId="72B34AB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总结点评：各小组进行了客观自评，总指挥与甲方代表进行了总结点评。</w:t>
      </w:r>
    </w:p>
    <w:p w14:paraId="51630A65">
      <w:pPr>
        <w:pStyle w:val="28"/>
        <w:bidi w:val="0"/>
        <w:rPr>
          <w:rFonts w:hint="default"/>
          <w:lang w:val="en-US" w:eastAsia="zh-CN"/>
        </w:rPr>
      </w:pPr>
      <w:bookmarkStart w:id="8" w:name="_Toc25928"/>
      <w:r>
        <w:rPr>
          <w:rFonts w:hint="eastAsia"/>
          <w:lang w:val="en-US" w:eastAsia="zh-CN"/>
        </w:rPr>
        <w:t>演练评估与分析</w:t>
      </w:r>
      <w:bookmarkEnd w:id="8"/>
    </w:p>
    <w:p w14:paraId="69C6A168">
      <w:pPr>
        <w:pStyle w:val="30"/>
        <w:bidi w:val="0"/>
        <w:rPr>
          <w:rFonts w:hint="eastAsia"/>
          <w:lang w:val="en-US" w:eastAsia="zh-CN"/>
        </w:rPr>
      </w:pPr>
      <w:bookmarkStart w:id="9" w:name="_Toc24730"/>
      <w:r>
        <w:rPr>
          <w:rFonts w:hint="eastAsia"/>
          <w:lang w:val="en-US" w:eastAsia="zh-CN"/>
        </w:rPr>
        <w:t>目标达成情况评估</w:t>
      </w:r>
      <w:bookmarkEnd w:id="9"/>
    </w:p>
    <w:tbl>
      <w:tblPr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7"/>
        <w:gridCol w:w="1332"/>
        <w:gridCol w:w="6635"/>
      </w:tblGrid>
      <w:tr w14:paraId="4AF18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5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20E5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预设目标</w:t>
            </w:r>
          </w:p>
        </w:tc>
        <w:tc>
          <w:tcPr>
            <w:tcW w:w="133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2289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评估结果</w:t>
            </w:r>
          </w:p>
        </w:tc>
        <w:tc>
          <w:tcPr>
            <w:tcW w:w="663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892F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2662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4189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检验预案</w:t>
            </w:r>
          </w:p>
        </w:tc>
        <w:tc>
          <w:tcPr>
            <w:tcW w:w="133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CEE6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基本达成</w:t>
            </w:r>
          </w:p>
        </w:tc>
        <w:tc>
          <w:tcPr>
            <w:tcW w:w="6635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2C34C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预案中的组织架构、响应流程、职责分工在演练中得到有效执行，证明其主体框架科学、可行。</w:t>
            </w:r>
          </w:p>
        </w:tc>
      </w:tr>
      <w:tr w14:paraId="2D223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91B4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磨合机制</w:t>
            </w:r>
          </w:p>
        </w:tc>
        <w:tc>
          <w:tcPr>
            <w:tcW w:w="133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E7D4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良好达成</w:t>
            </w:r>
          </w:p>
        </w:tc>
        <w:tc>
          <w:tcPr>
            <w:tcW w:w="6635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BB979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各应急小组之间，以及与公司平台运维组、采购部等常设部门的“平战结合”联动机制运作顺畅，沟通高效。</w:t>
            </w:r>
          </w:p>
        </w:tc>
      </w:tr>
      <w:tr w14:paraId="1D17F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5527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锻炼队伍</w:t>
            </w:r>
          </w:p>
        </w:tc>
        <w:tc>
          <w:tcPr>
            <w:tcW w:w="133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CB9A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良好达成</w:t>
            </w:r>
          </w:p>
        </w:tc>
        <w:tc>
          <w:tcPr>
            <w:tcW w:w="6635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5CB1A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参演人员应急意识显著增强，对报告流程、处置措施、自身职责的熟悉度大幅提升，技术队伍实操能力得到验证。</w:t>
            </w:r>
          </w:p>
        </w:tc>
      </w:tr>
      <w:tr w14:paraId="45BCC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2435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完善准备</w:t>
            </w:r>
          </w:p>
        </w:tc>
        <w:tc>
          <w:tcPr>
            <w:tcW w:w="133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E255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部分达成</w:t>
            </w:r>
          </w:p>
        </w:tc>
        <w:tc>
          <w:tcPr>
            <w:tcW w:w="6635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DB1A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通讯、物资等常规保障充分，但暴露出特定技术装备（熔接机）的应急准备存在优化空间。</w:t>
            </w:r>
          </w:p>
        </w:tc>
      </w:tr>
    </w:tbl>
    <w:p w14:paraId="2429D99B">
      <w:pPr>
        <w:pStyle w:val="30"/>
        <w:bidi w:val="0"/>
        <w:rPr>
          <w:rFonts w:hint="eastAsia"/>
          <w:lang w:val="en-US" w:eastAsia="zh-CN"/>
        </w:rPr>
      </w:pPr>
      <w:bookmarkStart w:id="10" w:name="_Toc18386"/>
      <w:r>
        <w:rPr>
          <w:rFonts w:hint="eastAsia"/>
          <w:lang w:val="en-US" w:eastAsia="zh-CN"/>
        </w:rPr>
        <w:t>关键环节能力评估</w:t>
      </w:r>
      <w:bookmarkEnd w:id="10"/>
    </w:p>
    <w:p w14:paraId="47E9009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信息流转效率：优秀。从事件发生到核心决策层知晓，用时远低于预案要求，报告内容完整、格式规范。</w:t>
      </w:r>
    </w:p>
    <w:p w14:paraId="64BF5BA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指挥决策效能：优秀。指挥层级清晰，决策点明确，响应级别判定准确。</w:t>
      </w:r>
    </w:p>
    <w:p w14:paraId="2892067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现场处置规范性：良好。先期处置步骤完整，注重安全，符合应急预案及安全规程。</w:t>
      </w:r>
    </w:p>
    <w:p w14:paraId="0062F69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技术支撑能力：优秀。故障定位准确，方案制定合理，关键抢修技能（光缆熔接）实操成功，体现了扎实的技术能力。</w:t>
      </w:r>
    </w:p>
    <w:p w14:paraId="546B8BD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后勤与协同保障：良好。物资保障到位，通讯畅通，跨部门协作请求能够得到及时响应。</w:t>
      </w:r>
    </w:p>
    <w:p w14:paraId="0D29FC22">
      <w:pPr>
        <w:pStyle w:val="28"/>
        <w:bidi w:val="0"/>
        <w:rPr>
          <w:rFonts w:hint="eastAsia"/>
          <w:lang w:val="en-US" w:eastAsia="zh-CN"/>
        </w:rPr>
      </w:pPr>
      <w:bookmarkStart w:id="11" w:name="_Toc16662"/>
      <w:r>
        <w:rPr>
          <w:rFonts w:hint="eastAsia"/>
          <w:lang w:val="en-US" w:eastAsia="zh-CN"/>
        </w:rPr>
        <w:t>问题与改进</w:t>
      </w:r>
      <w:bookmarkEnd w:id="11"/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3"/>
        <w:gridCol w:w="1992"/>
        <w:gridCol w:w="1741"/>
        <w:gridCol w:w="2455"/>
        <w:gridCol w:w="1136"/>
        <w:gridCol w:w="761"/>
      </w:tblGrid>
      <w:tr w14:paraId="06590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6A36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F72B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问题描述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83B7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根源分析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83CA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改进建议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03A9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责任部门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E318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建议完成时限</w:t>
            </w:r>
          </w:p>
        </w:tc>
      </w:tr>
      <w:tr w14:paraId="532F5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853E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E128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光缆熔接机预热时间较长（约8分钟），可能影响极端条件下的抢修效率。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8E57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现有设备技术规格限制，未针对应急场景进行设备选型优化。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8245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调研并评估快速启动型或冷接技术的可行性。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 在应急预案中增加“应急设备提前预热”的检查项。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4637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平台运维组、应急管理办公室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ACD1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2025年7月31日</w:t>
            </w:r>
          </w:p>
        </w:tc>
      </w:tr>
      <w:tr w14:paraId="64508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4A9F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09AA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模拟拨打外部救援电话时，对现场其他非参演人员的告知不够充分。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B85D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演练方案中对现场环境管理的细节考虑不足。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2F80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未来演练时，在安全交底中明确要求，并使用便携式扬声器或明确标识，向现场所有人员宣告演练状态。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E72D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应急管理办公室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FDCF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下次演练前</w:t>
            </w:r>
          </w:p>
        </w:tc>
      </w:tr>
      <w:tr w14:paraId="377D0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26CB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2CA0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技术组接管现场时，与先期处置组的交接流程略显随意，未形成书面记录。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A262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预案中对于现场指挥权移交和情况交接的标准化流程规定不够细致。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5F95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在应急预案的“现场处置”章节，补充制定简明的《现场情况交接单》，并设立固定交接点。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3075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应急管理办公室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64DB3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2025年7月15日</w:t>
            </w:r>
          </w:p>
        </w:tc>
      </w:tr>
    </w:tbl>
    <w:p w14:paraId="3F067C9E">
      <w:pPr>
        <w:pStyle w:val="29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17BA9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32783D"/>
    <w:rsid w:val="02247ACE"/>
    <w:rsid w:val="03724869"/>
    <w:rsid w:val="03870314"/>
    <w:rsid w:val="03E72A70"/>
    <w:rsid w:val="040354C1"/>
    <w:rsid w:val="04D076DC"/>
    <w:rsid w:val="050D2A9B"/>
    <w:rsid w:val="068D7EA2"/>
    <w:rsid w:val="07B216EA"/>
    <w:rsid w:val="08BD778E"/>
    <w:rsid w:val="09B23C11"/>
    <w:rsid w:val="0ABD0ABF"/>
    <w:rsid w:val="0B5B580C"/>
    <w:rsid w:val="0BBF1C25"/>
    <w:rsid w:val="0BF42537"/>
    <w:rsid w:val="0C210BDA"/>
    <w:rsid w:val="0C4274CE"/>
    <w:rsid w:val="0EF54B6B"/>
    <w:rsid w:val="126F6B43"/>
    <w:rsid w:val="12F10F28"/>
    <w:rsid w:val="13596EAB"/>
    <w:rsid w:val="13DA623E"/>
    <w:rsid w:val="161A6DC6"/>
    <w:rsid w:val="176D1177"/>
    <w:rsid w:val="181E0B65"/>
    <w:rsid w:val="190569E4"/>
    <w:rsid w:val="1A252DD1"/>
    <w:rsid w:val="1A534654"/>
    <w:rsid w:val="1AE67F2F"/>
    <w:rsid w:val="1C470054"/>
    <w:rsid w:val="1F210279"/>
    <w:rsid w:val="20121328"/>
    <w:rsid w:val="20CC6F0F"/>
    <w:rsid w:val="21CE6CB6"/>
    <w:rsid w:val="21EB08E4"/>
    <w:rsid w:val="21F12E83"/>
    <w:rsid w:val="21F901D7"/>
    <w:rsid w:val="21FA5CFD"/>
    <w:rsid w:val="23102FC8"/>
    <w:rsid w:val="257412D0"/>
    <w:rsid w:val="25ED0053"/>
    <w:rsid w:val="265F25D3"/>
    <w:rsid w:val="26A1531F"/>
    <w:rsid w:val="26CA0394"/>
    <w:rsid w:val="27FB37DE"/>
    <w:rsid w:val="28B11632"/>
    <w:rsid w:val="28B46C06"/>
    <w:rsid w:val="2A1C4FF0"/>
    <w:rsid w:val="2BB92785"/>
    <w:rsid w:val="2C0B1233"/>
    <w:rsid w:val="2DC17CBD"/>
    <w:rsid w:val="2DFE28CF"/>
    <w:rsid w:val="2E235265"/>
    <w:rsid w:val="2E9A4AF0"/>
    <w:rsid w:val="2FB93331"/>
    <w:rsid w:val="301A5EE8"/>
    <w:rsid w:val="328A3DB3"/>
    <w:rsid w:val="34A531A8"/>
    <w:rsid w:val="35357321"/>
    <w:rsid w:val="361F0D91"/>
    <w:rsid w:val="36E56B24"/>
    <w:rsid w:val="37022D4B"/>
    <w:rsid w:val="393D3428"/>
    <w:rsid w:val="39A9208B"/>
    <w:rsid w:val="39FA0479"/>
    <w:rsid w:val="3A157721"/>
    <w:rsid w:val="3AD917B7"/>
    <w:rsid w:val="3B355BED"/>
    <w:rsid w:val="3BF25A84"/>
    <w:rsid w:val="3E635DF9"/>
    <w:rsid w:val="3E693B97"/>
    <w:rsid w:val="3F2A5A1C"/>
    <w:rsid w:val="3F744EE9"/>
    <w:rsid w:val="3FB84DD6"/>
    <w:rsid w:val="4168282C"/>
    <w:rsid w:val="438356FB"/>
    <w:rsid w:val="44E82747"/>
    <w:rsid w:val="459C69D7"/>
    <w:rsid w:val="45ED50AE"/>
    <w:rsid w:val="46496788"/>
    <w:rsid w:val="46660D45"/>
    <w:rsid w:val="467D3251"/>
    <w:rsid w:val="471E7C15"/>
    <w:rsid w:val="47D633D4"/>
    <w:rsid w:val="4C1E4213"/>
    <w:rsid w:val="4D01701D"/>
    <w:rsid w:val="4E2F4B6D"/>
    <w:rsid w:val="4E7650B5"/>
    <w:rsid w:val="4EF31987"/>
    <w:rsid w:val="4F04359A"/>
    <w:rsid w:val="4FF5172F"/>
    <w:rsid w:val="506A3ECB"/>
    <w:rsid w:val="51016E91"/>
    <w:rsid w:val="538E2A0E"/>
    <w:rsid w:val="53F12868"/>
    <w:rsid w:val="540B16B8"/>
    <w:rsid w:val="55AC417C"/>
    <w:rsid w:val="56135E24"/>
    <w:rsid w:val="56451002"/>
    <w:rsid w:val="575E405D"/>
    <w:rsid w:val="579B705F"/>
    <w:rsid w:val="58BD495C"/>
    <w:rsid w:val="59C06B56"/>
    <w:rsid w:val="5B791466"/>
    <w:rsid w:val="5BA34735"/>
    <w:rsid w:val="5BD7618C"/>
    <w:rsid w:val="5BF622C7"/>
    <w:rsid w:val="5C415EF4"/>
    <w:rsid w:val="5DED1ED3"/>
    <w:rsid w:val="5F7F6E06"/>
    <w:rsid w:val="5FA740F0"/>
    <w:rsid w:val="60A76A75"/>
    <w:rsid w:val="622506F4"/>
    <w:rsid w:val="62ED7408"/>
    <w:rsid w:val="64947DE6"/>
    <w:rsid w:val="6578453C"/>
    <w:rsid w:val="660467D5"/>
    <w:rsid w:val="66212E26"/>
    <w:rsid w:val="666A657B"/>
    <w:rsid w:val="674B5BB6"/>
    <w:rsid w:val="675F0B6A"/>
    <w:rsid w:val="68260D20"/>
    <w:rsid w:val="68E35C3A"/>
    <w:rsid w:val="69A24DB9"/>
    <w:rsid w:val="6A484092"/>
    <w:rsid w:val="6A6E1C7B"/>
    <w:rsid w:val="6CA67BE1"/>
    <w:rsid w:val="6FAA5C3A"/>
    <w:rsid w:val="6FF00FE8"/>
    <w:rsid w:val="70397BC9"/>
    <w:rsid w:val="72F1592E"/>
    <w:rsid w:val="75B415C0"/>
    <w:rsid w:val="76F115AC"/>
    <w:rsid w:val="775E2302"/>
    <w:rsid w:val="775E5C88"/>
    <w:rsid w:val="7C961A20"/>
    <w:rsid w:val="7CDE5175"/>
    <w:rsid w:val="7D7B6E68"/>
    <w:rsid w:val="7F42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337</Words>
  <Characters>416</Characters>
  <Lines>0</Lines>
  <Paragraphs>0</Paragraphs>
  <TotalTime>0</TotalTime>
  <ScaleCrop>false</ScaleCrop>
  <LinksUpToDate>false</LinksUpToDate>
  <CharactersWithSpaces>459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2025-12-22T18:02:17Z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