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E94734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p w14:paraId="59C2E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E29CE35">
      <w:pPr>
        <w:pStyle w:val="24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0" w:name="_Toc20834"/>
      <w:bookmarkStart w:id="1" w:name="_Toc30823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46AF71D3">
      <w:pPr>
        <w:pStyle w:val="25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2" w:name="_Toc20245"/>
      <w:bookmarkStart w:id="3" w:name="_Toc30782"/>
      <w:r>
        <w:rPr>
          <w:rFonts w:hint="eastAsia"/>
          <w:lang w:val="en-US" w:eastAsia="zh-CN"/>
        </w:rPr>
        <w:t>烟台林海嵎峡田综合体智慧农业大数据平台建设项目-</w:t>
      </w:r>
      <w:bookmarkEnd w:id="2"/>
      <w:r>
        <w:rPr>
          <w:rFonts w:hint="eastAsia"/>
          <w:lang w:val="en-US" w:eastAsia="zh-CN"/>
        </w:rPr>
        <w:t>应急演练</w:t>
      </w:r>
      <w:bookmarkEnd w:id="3"/>
      <w:r>
        <w:rPr>
          <w:rFonts w:hint="eastAsia"/>
          <w:lang w:val="en-US" w:eastAsia="zh-CN"/>
        </w:rPr>
        <w:t>改进跟踪</w:t>
      </w:r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7B3F8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12E6555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张秀才</w:t>
            </w:r>
          </w:p>
        </w:tc>
        <w:tc>
          <w:tcPr>
            <w:tcW w:w="4261" w:type="dxa"/>
          </w:tcPr>
          <w:p w14:paraId="2A49AF2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657B1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13DE43C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宋振</w:t>
            </w:r>
          </w:p>
        </w:tc>
        <w:tc>
          <w:tcPr>
            <w:tcW w:w="4261" w:type="dxa"/>
            <w:shd w:val="clear" w:color="auto" w:fill="auto"/>
          </w:tcPr>
          <w:p w14:paraId="282A5A0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  <w:tr w14:paraId="1DC939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6DEC131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62C309F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2025.10.30</w:t>
            </w:r>
          </w:p>
        </w:tc>
      </w:tr>
    </w:tbl>
    <w:p w14:paraId="7EDC164F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4D6AFCDE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729D8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042077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4E9DBF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3088DD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221339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1A9EAE9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6649FB5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CD2786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884212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60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19" w:type="dxa"/>
          </w:tcPr>
          <w:p w14:paraId="513F867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59AF973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3B3691D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张秀才</w:t>
            </w:r>
          </w:p>
        </w:tc>
        <w:tc>
          <w:tcPr>
            <w:tcW w:w="1150" w:type="dxa"/>
          </w:tcPr>
          <w:p w14:paraId="561761A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4EF9C2A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1B48BD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A8E5C6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4981038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48AC70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4A206BA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FFD1CD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6B0C3FC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4EB922E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AB0875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6ABEB3B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146D13D8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41E6724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9A7B52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224B172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1195B6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412A6ADD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3C1BFBA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54B76C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3B0A798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776FCE3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5B7EC58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55C7F5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9FFACF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57995E0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3581D3E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202D5C3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15D94E2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7E766AC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565159B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5120D90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3A0C478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7BDA32D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7EA034D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026A3BE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21963CD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</w:tbl>
    <w:p w14:paraId="18ADB9E4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DF7BB2D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2F2BC1D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</w:p>
        <w:p w14:paraId="6AEF32F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_Toc30823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A82B5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烟台林海嵎峡田综合体智慧农业大数据平台建设项目-应急演练报告</w:t>
          </w:r>
          <w:r>
            <w:tab/>
          </w:r>
          <w:r>
            <w:fldChar w:fldCharType="begin"/>
          </w:r>
          <w:r>
            <w:instrText xml:space="preserve"> PAGEREF _Toc30782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785D2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摘要</w:t>
          </w:r>
          <w:r>
            <w:tab/>
          </w:r>
          <w:r>
            <w:fldChar w:fldCharType="begin"/>
          </w:r>
          <w:r>
            <w:instrText xml:space="preserve"> PAGEREF _Toc12930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EDE08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演练概况</w:t>
          </w:r>
          <w:r>
            <w:tab/>
          </w:r>
          <w:r>
            <w:fldChar w:fldCharType="begin"/>
          </w:r>
          <w:r>
            <w:instrText xml:space="preserve"> PAGEREF _Toc32330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7FFC7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编制依据</w:t>
          </w:r>
          <w:r>
            <w:tab/>
          </w:r>
          <w:r>
            <w:fldChar w:fldCharType="begin"/>
          </w:r>
          <w:r>
            <w:instrText xml:space="preserve"> PAGEREF _Toc29542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6901C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演练实施情况回顾</w:t>
          </w:r>
          <w:r>
            <w:tab/>
          </w:r>
          <w:r>
            <w:fldChar w:fldCharType="begin"/>
          </w:r>
          <w:r>
            <w:instrText xml:space="preserve"> PAGEREF _Toc29226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0909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演练评估与分析</w:t>
          </w:r>
          <w:r>
            <w:tab/>
          </w:r>
          <w:r>
            <w:fldChar w:fldCharType="begin"/>
          </w:r>
          <w:r>
            <w:instrText xml:space="preserve"> PAGEREF _Toc25928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4A7B4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目标达成情况评估</w:t>
          </w:r>
          <w:r>
            <w:tab/>
          </w:r>
          <w:r>
            <w:fldChar w:fldCharType="begin"/>
          </w:r>
          <w:r>
            <w:instrText xml:space="preserve"> PAGEREF _Toc24730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136A9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关键环节能力评估</w:t>
          </w:r>
          <w:r>
            <w:tab/>
          </w:r>
          <w:r>
            <w:fldChar w:fldCharType="begin"/>
          </w:r>
          <w:r>
            <w:instrText xml:space="preserve"> PAGEREF _Toc18386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CD51A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问题与改进</w:t>
          </w:r>
          <w:r>
            <w:tab/>
          </w:r>
          <w:r>
            <w:fldChar w:fldCharType="begin"/>
          </w:r>
          <w:r>
            <w:instrText xml:space="preserve"> PAGEREF _Toc16662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1AC6FA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62A1F8D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46B8BD6">
      <w:pPr>
        <w:pStyle w:val="29"/>
        <w:rPr>
          <w:rFonts w:hint="default"/>
          <w:lang w:val="en-US" w:eastAsia="zh-CN"/>
        </w:rPr>
      </w:pPr>
    </w:p>
    <w:p w14:paraId="0D29FC22">
      <w:pPr>
        <w:pStyle w:val="28"/>
        <w:bidi w:val="0"/>
        <w:rPr>
          <w:rFonts w:hint="eastAsia"/>
          <w:lang w:val="en-US" w:eastAsia="zh-CN"/>
        </w:rPr>
      </w:pPr>
      <w:bookmarkStart w:id="4" w:name="_Toc16662"/>
      <w:r>
        <w:rPr>
          <w:rFonts w:hint="eastAsia"/>
          <w:lang w:val="en-US" w:eastAsia="zh-CN"/>
        </w:rPr>
        <w:t>问题与改进</w:t>
      </w:r>
      <w:bookmarkEnd w:id="4"/>
    </w:p>
    <w:tbl>
      <w:tblPr>
        <w:tblStyle w:val="20"/>
        <w:tblW w:w="87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9"/>
        <w:gridCol w:w="1644"/>
        <w:gridCol w:w="1585"/>
        <w:gridCol w:w="1572"/>
        <w:gridCol w:w="1248"/>
        <w:gridCol w:w="911"/>
        <w:gridCol w:w="1176"/>
      </w:tblGrid>
      <w:tr w14:paraId="47A01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8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6A366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1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72BD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3B7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根源分析</w:t>
            </w:r>
          </w:p>
        </w:tc>
        <w:tc>
          <w:tcPr>
            <w:tcW w:w="157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83CA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改进建议</w:t>
            </w:r>
          </w:p>
        </w:tc>
        <w:tc>
          <w:tcPr>
            <w:tcW w:w="12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03A9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责任部门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318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建议完成时限</w:t>
            </w:r>
          </w:p>
        </w:tc>
        <w:tc>
          <w:tcPr>
            <w:tcW w:w="1176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F12EB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完成情况</w:t>
            </w:r>
          </w:p>
        </w:tc>
      </w:tr>
      <w:tr w14:paraId="2F44D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853EE9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1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E128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光缆熔接机预热时间较长（约8分钟），可能影响极端条件下的抢修效率。</w:t>
            </w:r>
            <w:bookmarkStart w:id="5" w:name="_GoBack"/>
            <w:bookmarkEnd w:id="5"/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8E57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现有设备技术规格限制，未针对应急场景进行设备选型优化。</w:t>
            </w:r>
          </w:p>
        </w:tc>
        <w:tc>
          <w:tcPr>
            <w:tcW w:w="157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8245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调研并评估快速启动型或冷接技术的可行性。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在应急预案中增加“应急设备提前预热”的检查项。</w:t>
            </w:r>
          </w:p>
        </w:tc>
        <w:tc>
          <w:tcPr>
            <w:tcW w:w="12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4637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平台运维组、应急管理办公室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ACD1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2025年7月31日</w:t>
            </w:r>
          </w:p>
        </w:tc>
        <w:tc>
          <w:tcPr>
            <w:tcW w:w="117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68E95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654B3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4A9F0F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1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09AA8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模拟拨打外部救援电话时，对现场其他非参演人员的告知不够充分。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B85D1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演练方案中对现场环境管理的细节考虑不足。</w:t>
            </w:r>
          </w:p>
        </w:tc>
        <w:tc>
          <w:tcPr>
            <w:tcW w:w="157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2F80C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未来演练时，在安全交底中明确要求，并使用便携式扬声器或明确标识，向现场所有人员宣告演练状态。</w:t>
            </w:r>
          </w:p>
        </w:tc>
        <w:tc>
          <w:tcPr>
            <w:tcW w:w="12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E72D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应急管理办公室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CFDCF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下次演练前</w:t>
            </w:r>
          </w:p>
        </w:tc>
        <w:tc>
          <w:tcPr>
            <w:tcW w:w="117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947FA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  <w:tr w14:paraId="70887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89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26CB75">
            <w:pPr>
              <w:keepNext w:val="0"/>
              <w:keepLines w:val="0"/>
              <w:widowControl/>
              <w:suppressLineNumbers w:val="0"/>
              <w:spacing w:line="300" w:lineRule="atLeast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1644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2CA0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技术组接管现场时，与先期处置组的交接流程略显随意，未形成书面记录。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A2622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预案中对于现场指挥权移交和情况交接的标准化流程规定不够细致。</w:t>
            </w:r>
          </w:p>
        </w:tc>
        <w:tc>
          <w:tcPr>
            <w:tcW w:w="157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5F954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在应急预案的“现场处置”章节，补充制定简明的《现场情况交接单》，并设立固定交接点。</w:t>
            </w:r>
          </w:p>
        </w:tc>
        <w:tc>
          <w:tcPr>
            <w:tcW w:w="1248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3075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应急管理办公室</w:t>
            </w:r>
          </w:p>
        </w:tc>
        <w:tc>
          <w:tcPr>
            <w:tcW w:w="911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4DB3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2025年7月15日</w:t>
            </w:r>
          </w:p>
        </w:tc>
        <w:tc>
          <w:tcPr>
            <w:tcW w:w="1176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8B4983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已完成</w:t>
            </w:r>
          </w:p>
        </w:tc>
      </w:tr>
    </w:tbl>
    <w:p w14:paraId="3F067C9E">
      <w:pPr>
        <w:pStyle w:val="29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17BA9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32783D"/>
    <w:rsid w:val="02247ACE"/>
    <w:rsid w:val="03724869"/>
    <w:rsid w:val="03870314"/>
    <w:rsid w:val="03E72A70"/>
    <w:rsid w:val="040354C1"/>
    <w:rsid w:val="04D076DC"/>
    <w:rsid w:val="050D2A9B"/>
    <w:rsid w:val="068D7EA2"/>
    <w:rsid w:val="07B216EA"/>
    <w:rsid w:val="08BD778E"/>
    <w:rsid w:val="09B23C11"/>
    <w:rsid w:val="0ABD0ABF"/>
    <w:rsid w:val="0B5B580C"/>
    <w:rsid w:val="0BBF1C25"/>
    <w:rsid w:val="0BF42537"/>
    <w:rsid w:val="0C210BDA"/>
    <w:rsid w:val="0C344DB1"/>
    <w:rsid w:val="0C4274CE"/>
    <w:rsid w:val="0D330BC5"/>
    <w:rsid w:val="0EF54B6B"/>
    <w:rsid w:val="0F7B7B45"/>
    <w:rsid w:val="126F6B43"/>
    <w:rsid w:val="12F10F28"/>
    <w:rsid w:val="13596EAB"/>
    <w:rsid w:val="13DA623E"/>
    <w:rsid w:val="15F936FA"/>
    <w:rsid w:val="161A6DC6"/>
    <w:rsid w:val="176D1177"/>
    <w:rsid w:val="181E0B65"/>
    <w:rsid w:val="190569E4"/>
    <w:rsid w:val="1A252DD1"/>
    <w:rsid w:val="1A534654"/>
    <w:rsid w:val="1AE67F2F"/>
    <w:rsid w:val="1B7B52A4"/>
    <w:rsid w:val="1C470054"/>
    <w:rsid w:val="1D097B94"/>
    <w:rsid w:val="1F210279"/>
    <w:rsid w:val="20121328"/>
    <w:rsid w:val="20CC6F0F"/>
    <w:rsid w:val="21CE6CB6"/>
    <w:rsid w:val="21EB08E4"/>
    <w:rsid w:val="21F12E83"/>
    <w:rsid w:val="21F901D7"/>
    <w:rsid w:val="21FA5CFD"/>
    <w:rsid w:val="23102FC8"/>
    <w:rsid w:val="257412D0"/>
    <w:rsid w:val="25ED0053"/>
    <w:rsid w:val="265F25D3"/>
    <w:rsid w:val="26A1531F"/>
    <w:rsid w:val="26CA0394"/>
    <w:rsid w:val="27FB37DE"/>
    <w:rsid w:val="28B11632"/>
    <w:rsid w:val="28B46C06"/>
    <w:rsid w:val="2A1C4FF0"/>
    <w:rsid w:val="2BB92785"/>
    <w:rsid w:val="2C0B1233"/>
    <w:rsid w:val="2DC17CBD"/>
    <w:rsid w:val="2DFE28CF"/>
    <w:rsid w:val="2E235265"/>
    <w:rsid w:val="2E9A4AF0"/>
    <w:rsid w:val="2FB93331"/>
    <w:rsid w:val="301A5EE8"/>
    <w:rsid w:val="328A3DB3"/>
    <w:rsid w:val="34A531A8"/>
    <w:rsid w:val="34BD6E42"/>
    <w:rsid w:val="35357321"/>
    <w:rsid w:val="361F0D91"/>
    <w:rsid w:val="36E56B24"/>
    <w:rsid w:val="37022D4B"/>
    <w:rsid w:val="38710670"/>
    <w:rsid w:val="393D3428"/>
    <w:rsid w:val="39A9208B"/>
    <w:rsid w:val="39FA0479"/>
    <w:rsid w:val="3A157721"/>
    <w:rsid w:val="3AD917B7"/>
    <w:rsid w:val="3B355BED"/>
    <w:rsid w:val="3BF25A84"/>
    <w:rsid w:val="3E635DF9"/>
    <w:rsid w:val="3E693B97"/>
    <w:rsid w:val="3F2A5A1C"/>
    <w:rsid w:val="3F744EE9"/>
    <w:rsid w:val="3FB84DD6"/>
    <w:rsid w:val="4168282C"/>
    <w:rsid w:val="438356FB"/>
    <w:rsid w:val="44E82747"/>
    <w:rsid w:val="459C69D7"/>
    <w:rsid w:val="45ED50AE"/>
    <w:rsid w:val="46496788"/>
    <w:rsid w:val="46660D45"/>
    <w:rsid w:val="467D3251"/>
    <w:rsid w:val="471E7C15"/>
    <w:rsid w:val="474B4BE5"/>
    <w:rsid w:val="47D633D4"/>
    <w:rsid w:val="4C1E4213"/>
    <w:rsid w:val="4D01701D"/>
    <w:rsid w:val="4E2F4B6D"/>
    <w:rsid w:val="4E7650B5"/>
    <w:rsid w:val="4EF31987"/>
    <w:rsid w:val="4F04359A"/>
    <w:rsid w:val="4FF5172F"/>
    <w:rsid w:val="506A3ECB"/>
    <w:rsid w:val="51016E91"/>
    <w:rsid w:val="52B23907"/>
    <w:rsid w:val="538E2A0E"/>
    <w:rsid w:val="53F12868"/>
    <w:rsid w:val="540B16B8"/>
    <w:rsid w:val="55AC417C"/>
    <w:rsid w:val="56135E24"/>
    <w:rsid w:val="56451002"/>
    <w:rsid w:val="575E405D"/>
    <w:rsid w:val="579B705F"/>
    <w:rsid w:val="58BD495C"/>
    <w:rsid w:val="59C06B56"/>
    <w:rsid w:val="5B791466"/>
    <w:rsid w:val="5BA34735"/>
    <w:rsid w:val="5BD7618C"/>
    <w:rsid w:val="5BF622C7"/>
    <w:rsid w:val="5C415EF4"/>
    <w:rsid w:val="5C425CFC"/>
    <w:rsid w:val="5C6F5870"/>
    <w:rsid w:val="5DED1ED3"/>
    <w:rsid w:val="5F7F6E06"/>
    <w:rsid w:val="5FA740F0"/>
    <w:rsid w:val="60A76A75"/>
    <w:rsid w:val="622506F4"/>
    <w:rsid w:val="62ED7408"/>
    <w:rsid w:val="64947DE6"/>
    <w:rsid w:val="6578453C"/>
    <w:rsid w:val="660467D5"/>
    <w:rsid w:val="66212E26"/>
    <w:rsid w:val="666A657B"/>
    <w:rsid w:val="674B5BB6"/>
    <w:rsid w:val="675F0B6A"/>
    <w:rsid w:val="68260D20"/>
    <w:rsid w:val="68E35C3A"/>
    <w:rsid w:val="69A24DB9"/>
    <w:rsid w:val="6A484092"/>
    <w:rsid w:val="6A6E1C7B"/>
    <w:rsid w:val="6B264A3A"/>
    <w:rsid w:val="6CA67BE1"/>
    <w:rsid w:val="6FAA5C3A"/>
    <w:rsid w:val="6FF00FE8"/>
    <w:rsid w:val="70397BC9"/>
    <w:rsid w:val="72F1592E"/>
    <w:rsid w:val="75B415C0"/>
    <w:rsid w:val="76F115AC"/>
    <w:rsid w:val="775E2302"/>
    <w:rsid w:val="775E5C88"/>
    <w:rsid w:val="7AB12572"/>
    <w:rsid w:val="7C961A20"/>
    <w:rsid w:val="7CDE5175"/>
    <w:rsid w:val="7D7B6E68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1680</Words>
  <Characters>1776</Characters>
  <Lines>0</Lines>
  <Paragraphs>0</Paragraphs>
  <TotalTime>0</TotalTime>
  <ScaleCrop>false</ScaleCrop>
  <LinksUpToDate>false</LinksUpToDate>
  <CharactersWithSpaces>1819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2025-12-22T18:06:03Z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