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289391">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3</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2-01</w:t>
      </w:r>
    </w:p>
    <w:p w14:paraId="46A4E9B0">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0DCC4861">
      <w:pPr>
        <w:pStyle w:val="24"/>
        <w:bidi w:val="0"/>
      </w:pPr>
      <w:bookmarkStart w:id="0" w:name="_Toc5178"/>
      <w:r>
        <w:rPr>
          <w:rFonts w:hint="eastAsia"/>
          <w:lang w:val="en-US" w:eastAsia="zh-CN"/>
        </w:rPr>
        <w:t>青岛瑞源工程集团有限公司</w:t>
      </w:r>
      <w:bookmarkEnd w:id="0"/>
    </w:p>
    <w:p w14:paraId="53040FF7">
      <w:pPr>
        <w:pStyle w:val="25"/>
        <w:bidi w:val="0"/>
        <w:rPr>
          <w:rFonts w:hint="default"/>
          <w:lang w:val="en-US"/>
        </w:rPr>
      </w:pPr>
      <w:bookmarkStart w:id="1" w:name="_Toc14116"/>
      <w:r>
        <w:rPr>
          <w:rFonts w:hint="eastAsia"/>
          <w:lang w:val="en-US" w:eastAsia="zh-CN"/>
        </w:rPr>
        <w:t>运维服务能力管理计划</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3249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7879A476">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fitText w:val="600" w:id="737751480"/>
                <w:vertAlign w:val="baseline"/>
                <w:lang w:val="en-US" w:eastAsia="zh-CN"/>
              </w:rPr>
              <w:t>薛成</w:t>
            </w:r>
            <w:r>
              <w:rPr>
                <w:rFonts w:hint="eastAsia"/>
                <w:spacing w:val="0"/>
                <w:w w:val="95"/>
                <w:kern w:val="0"/>
                <w:u w:val="single"/>
                <w:fitText w:val="600" w:id="737751480"/>
                <w:vertAlign w:val="baseline"/>
                <w:lang w:val="en-US" w:eastAsia="zh-CN"/>
              </w:rPr>
              <w:t>攀</w:t>
            </w:r>
          </w:p>
        </w:tc>
        <w:tc>
          <w:tcPr>
            <w:tcW w:w="4261" w:type="dxa"/>
          </w:tcPr>
          <w:p w14:paraId="66EC1B70">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7609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03EF7F13">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2888346"/>
                <w:vertAlign w:val="baseline"/>
                <w:lang w:val="en-US" w:eastAsia="zh-CN"/>
              </w:rPr>
              <w:t>宋</w:t>
            </w:r>
            <w:r>
              <w:rPr>
                <w:rFonts w:hint="eastAsia"/>
                <w:spacing w:val="0"/>
                <w:kern w:val="0"/>
                <w:u w:val="single"/>
                <w:fitText w:val="600" w:id="2888346"/>
                <w:vertAlign w:val="baseline"/>
                <w:lang w:val="en-US" w:eastAsia="zh-CN"/>
              </w:rPr>
              <w:t>振</w:t>
            </w:r>
          </w:p>
        </w:tc>
        <w:tc>
          <w:tcPr>
            <w:tcW w:w="4261" w:type="dxa"/>
            <w:shd w:val="clear" w:color="auto" w:fill="auto"/>
          </w:tcPr>
          <w:p w14:paraId="5CE80957">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BF36C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461D2110">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3B344DDA">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5988156">
      <w:r>
        <w:br w:type="page"/>
      </w:r>
    </w:p>
    <w:p w14:paraId="2B846862">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3495FA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171346A">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B7EF1EA">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3AE58595">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E4DE476">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5D53D1C3">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A5AAAD2">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3B4C2F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313CBF7">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30E81540">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289FFDD">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0FE142D5">
            <w:pPr>
              <w:spacing w:before="172" w:line="228" w:lineRule="auto"/>
              <w:ind w:left="313"/>
              <w:rPr>
                <w:rFonts w:hint="eastAsia" w:ascii="宋体" w:hAnsi="宋体" w:eastAsia="宋体" w:cs="宋体"/>
                <w:sz w:val="20"/>
                <w:szCs w:val="20"/>
                <w:lang w:val="en-US" w:eastAsia="zh-CN"/>
              </w:rPr>
            </w:pPr>
            <w:r>
              <w:rPr>
                <w:rFonts w:hint="eastAsia"/>
                <w:spacing w:val="1"/>
                <w:w w:val="95"/>
                <w:kern w:val="0"/>
                <w:u w:val="none"/>
                <w:fitText w:val="600" w:id="1191077375"/>
                <w:vertAlign w:val="baseline"/>
                <w:lang w:val="en-US" w:eastAsia="zh-CN"/>
              </w:rPr>
              <w:t>薛成</w:t>
            </w:r>
            <w:r>
              <w:rPr>
                <w:rFonts w:hint="eastAsia"/>
                <w:spacing w:val="0"/>
                <w:w w:val="95"/>
                <w:kern w:val="0"/>
                <w:u w:val="none"/>
                <w:fitText w:val="600" w:id="1191077375"/>
                <w:vertAlign w:val="baseline"/>
                <w:lang w:val="en-US" w:eastAsia="zh-CN"/>
              </w:rPr>
              <w:t>攀</w:t>
            </w:r>
          </w:p>
        </w:tc>
        <w:tc>
          <w:tcPr>
            <w:tcW w:w="1150" w:type="dxa"/>
          </w:tcPr>
          <w:p w14:paraId="04A4689D">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528709769"/>
                <w:lang w:val="en-US" w:eastAsia="zh-CN"/>
              </w:rPr>
              <w:t>宋</w:t>
            </w:r>
            <w:r>
              <w:rPr>
                <w:rFonts w:hint="eastAsia" w:ascii="宋体" w:hAnsi="宋体" w:eastAsia="宋体" w:cs="宋体"/>
                <w:spacing w:val="0"/>
                <w:kern w:val="0"/>
                <w:sz w:val="20"/>
                <w:szCs w:val="20"/>
                <w:fitText w:val="600" w:id="528709769"/>
                <w:lang w:val="en-US" w:eastAsia="zh-CN"/>
              </w:rPr>
              <w:t>振</w:t>
            </w:r>
          </w:p>
        </w:tc>
        <w:tc>
          <w:tcPr>
            <w:tcW w:w="1240" w:type="dxa"/>
          </w:tcPr>
          <w:p w14:paraId="79B380A0">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27CB0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4AF2A0B">
            <w:pPr>
              <w:pStyle w:val="27"/>
            </w:pPr>
          </w:p>
        </w:tc>
        <w:tc>
          <w:tcPr>
            <w:tcW w:w="919" w:type="dxa"/>
          </w:tcPr>
          <w:p w14:paraId="148834D9">
            <w:pPr>
              <w:pStyle w:val="27"/>
            </w:pPr>
          </w:p>
        </w:tc>
        <w:tc>
          <w:tcPr>
            <w:tcW w:w="2289" w:type="dxa"/>
          </w:tcPr>
          <w:p w14:paraId="3519E422">
            <w:pPr>
              <w:pStyle w:val="27"/>
            </w:pPr>
          </w:p>
        </w:tc>
        <w:tc>
          <w:tcPr>
            <w:tcW w:w="1148" w:type="dxa"/>
          </w:tcPr>
          <w:p w14:paraId="677F7B11">
            <w:pPr>
              <w:spacing w:before="172" w:line="228" w:lineRule="auto"/>
              <w:ind w:left="313"/>
            </w:pPr>
            <w:bookmarkStart w:id="50" w:name="_GoBack"/>
            <w:bookmarkEnd w:id="50"/>
          </w:p>
        </w:tc>
        <w:tc>
          <w:tcPr>
            <w:tcW w:w="1150" w:type="dxa"/>
          </w:tcPr>
          <w:p w14:paraId="7FB6BB19">
            <w:pPr>
              <w:spacing w:before="172" w:line="228" w:lineRule="auto"/>
              <w:ind w:left="313"/>
            </w:pPr>
          </w:p>
        </w:tc>
        <w:tc>
          <w:tcPr>
            <w:tcW w:w="1240" w:type="dxa"/>
          </w:tcPr>
          <w:p w14:paraId="5E4F6B28">
            <w:pPr>
              <w:pStyle w:val="27"/>
            </w:pPr>
          </w:p>
        </w:tc>
      </w:tr>
      <w:tr w14:paraId="417742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926FB27">
            <w:pPr>
              <w:pStyle w:val="27"/>
            </w:pPr>
          </w:p>
        </w:tc>
        <w:tc>
          <w:tcPr>
            <w:tcW w:w="919" w:type="dxa"/>
          </w:tcPr>
          <w:p w14:paraId="44ACB8FF">
            <w:pPr>
              <w:pStyle w:val="27"/>
            </w:pPr>
          </w:p>
        </w:tc>
        <w:tc>
          <w:tcPr>
            <w:tcW w:w="2289" w:type="dxa"/>
          </w:tcPr>
          <w:p w14:paraId="51A35CE0">
            <w:pPr>
              <w:pStyle w:val="27"/>
            </w:pPr>
          </w:p>
        </w:tc>
        <w:tc>
          <w:tcPr>
            <w:tcW w:w="1148" w:type="dxa"/>
          </w:tcPr>
          <w:p w14:paraId="138D8366">
            <w:pPr>
              <w:spacing w:before="173" w:line="229" w:lineRule="auto"/>
              <w:ind w:left="314"/>
            </w:pPr>
          </w:p>
        </w:tc>
        <w:tc>
          <w:tcPr>
            <w:tcW w:w="1150" w:type="dxa"/>
          </w:tcPr>
          <w:p w14:paraId="4C8C672A">
            <w:pPr>
              <w:spacing w:before="173" w:line="229" w:lineRule="auto"/>
              <w:ind w:left="314"/>
            </w:pPr>
          </w:p>
        </w:tc>
        <w:tc>
          <w:tcPr>
            <w:tcW w:w="1240" w:type="dxa"/>
          </w:tcPr>
          <w:p w14:paraId="600020E6">
            <w:pPr>
              <w:pStyle w:val="27"/>
            </w:pPr>
          </w:p>
        </w:tc>
      </w:tr>
      <w:tr w14:paraId="78C5DF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CE81D36">
            <w:pPr>
              <w:pStyle w:val="27"/>
            </w:pPr>
          </w:p>
        </w:tc>
        <w:tc>
          <w:tcPr>
            <w:tcW w:w="919" w:type="dxa"/>
          </w:tcPr>
          <w:p w14:paraId="193BF84E">
            <w:pPr>
              <w:pStyle w:val="27"/>
            </w:pPr>
          </w:p>
        </w:tc>
        <w:tc>
          <w:tcPr>
            <w:tcW w:w="2289" w:type="dxa"/>
          </w:tcPr>
          <w:p w14:paraId="4E4D4F76">
            <w:pPr>
              <w:pStyle w:val="27"/>
            </w:pPr>
          </w:p>
        </w:tc>
        <w:tc>
          <w:tcPr>
            <w:tcW w:w="1148" w:type="dxa"/>
          </w:tcPr>
          <w:p w14:paraId="4F80A286">
            <w:pPr>
              <w:pStyle w:val="27"/>
            </w:pPr>
          </w:p>
        </w:tc>
        <w:tc>
          <w:tcPr>
            <w:tcW w:w="1150" w:type="dxa"/>
          </w:tcPr>
          <w:p w14:paraId="66F04C66">
            <w:pPr>
              <w:pStyle w:val="27"/>
            </w:pPr>
          </w:p>
        </w:tc>
        <w:tc>
          <w:tcPr>
            <w:tcW w:w="1240" w:type="dxa"/>
          </w:tcPr>
          <w:p w14:paraId="38AFA6DC">
            <w:pPr>
              <w:pStyle w:val="27"/>
            </w:pPr>
          </w:p>
        </w:tc>
      </w:tr>
      <w:tr w14:paraId="056B067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14082CF">
            <w:pPr>
              <w:pStyle w:val="27"/>
            </w:pPr>
          </w:p>
        </w:tc>
        <w:tc>
          <w:tcPr>
            <w:tcW w:w="919" w:type="dxa"/>
          </w:tcPr>
          <w:p w14:paraId="65D4EA6C">
            <w:pPr>
              <w:pStyle w:val="27"/>
            </w:pPr>
          </w:p>
        </w:tc>
        <w:tc>
          <w:tcPr>
            <w:tcW w:w="2289" w:type="dxa"/>
          </w:tcPr>
          <w:p w14:paraId="5ECA7412">
            <w:pPr>
              <w:pStyle w:val="27"/>
            </w:pPr>
          </w:p>
        </w:tc>
        <w:tc>
          <w:tcPr>
            <w:tcW w:w="1148" w:type="dxa"/>
          </w:tcPr>
          <w:p w14:paraId="63749240">
            <w:pPr>
              <w:pStyle w:val="27"/>
            </w:pPr>
          </w:p>
        </w:tc>
        <w:tc>
          <w:tcPr>
            <w:tcW w:w="1150" w:type="dxa"/>
          </w:tcPr>
          <w:p w14:paraId="28FC42EA">
            <w:pPr>
              <w:pStyle w:val="27"/>
            </w:pPr>
          </w:p>
        </w:tc>
        <w:tc>
          <w:tcPr>
            <w:tcW w:w="1240" w:type="dxa"/>
          </w:tcPr>
          <w:p w14:paraId="0108A56A">
            <w:pPr>
              <w:pStyle w:val="27"/>
            </w:pPr>
          </w:p>
        </w:tc>
      </w:tr>
      <w:tr w14:paraId="768527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C1FCA7A">
            <w:pPr>
              <w:pStyle w:val="27"/>
            </w:pPr>
          </w:p>
        </w:tc>
        <w:tc>
          <w:tcPr>
            <w:tcW w:w="919" w:type="dxa"/>
          </w:tcPr>
          <w:p w14:paraId="1E6EE0FE">
            <w:pPr>
              <w:pStyle w:val="27"/>
            </w:pPr>
          </w:p>
        </w:tc>
        <w:tc>
          <w:tcPr>
            <w:tcW w:w="2289" w:type="dxa"/>
          </w:tcPr>
          <w:p w14:paraId="64A2D09F">
            <w:pPr>
              <w:pStyle w:val="27"/>
            </w:pPr>
          </w:p>
        </w:tc>
        <w:tc>
          <w:tcPr>
            <w:tcW w:w="1148" w:type="dxa"/>
          </w:tcPr>
          <w:p w14:paraId="2F817FC4">
            <w:pPr>
              <w:pStyle w:val="27"/>
            </w:pPr>
          </w:p>
        </w:tc>
        <w:tc>
          <w:tcPr>
            <w:tcW w:w="1150" w:type="dxa"/>
          </w:tcPr>
          <w:p w14:paraId="535C5ECF">
            <w:pPr>
              <w:pStyle w:val="27"/>
            </w:pPr>
          </w:p>
        </w:tc>
        <w:tc>
          <w:tcPr>
            <w:tcW w:w="1240" w:type="dxa"/>
          </w:tcPr>
          <w:p w14:paraId="3D60145E">
            <w:pPr>
              <w:pStyle w:val="27"/>
            </w:pPr>
          </w:p>
        </w:tc>
      </w:tr>
    </w:tbl>
    <w:p w14:paraId="0A90FC79">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772181D">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5604D622">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_Toc5178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_Toc5178 \h </w:instrText>
          </w:r>
          <w:r>
            <w:fldChar w:fldCharType="separate"/>
          </w:r>
          <w:r>
            <w:t>1</w:t>
          </w:r>
          <w:r>
            <w:fldChar w:fldCharType="end"/>
          </w:r>
          <w:r>
            <w:rPr>
              <w:rFonts w:hint="eastAsia" w:ascii="宋体" w:hAnsi="宋体" w:eastAsia="宋体" w:cs="宋体"/>
              <w:szCs w:val="24"/>
            </w:rPr>
            <w:fldChar w:fldCharType="end"/>
          </w:r>
        </w:p>
        <w:p w14:paraId="73F9F33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_Toc14116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_Toc14116 \h </w:instrText>
          </w:r>
          <w:r>
            <w:fldChar w:fldCharType="separate"/>
          </w:r>
          <w:r>
            <w:t>1</w:t>
          </w:r>
          <w:r>
            <w:fldChar w:fldCharType="end"/>
          </w:r>
          <w:r>
            <w:rPr>
              <w:rFonts w:hint="eastAsia" w:ascii="宋体" w:hAnsi="宋体" w:eastAsia="宋体" w:cs="宋体"/>
              <w:szCs w:val="24"/>
            </w:rPr>
            <w:fldChar w:fldCharType="end"/>
          </w:r>
        </w:p>
        <w:p w14:paraId="0B1B1EF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_Toc13364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_Toc13364 \h </w:instrText>
          </w:r>
          <w:r>
            <w:fldChar w:fldCharType="separate"/>
          </w:r>
          <w:r>
            <w:t>5</w:t>
          </w:r>
          <w:r>
            <w:fldChar w:fldCharType="end"/>
          </w:r>
          <w:r>
            <w:rPr>
              <w:rFonts w:hint="eastAsia" w:ascii="宋体" w:hAnsi="宋体" w:eastAsia="宋体" w:cs="宋体"/>
              <w:szCs w:val="24"/>
            </w:rPr>
            <w:fldChar w:fldCharType="end"/>
          </w:r>
        </w:p>
        <w:p w14:paraId="4C9E481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_Toc23952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_Toc23952 \h </w:instrText>
          </w:r>
          <w:r>
            <w:fldChar w:fldCharType="separate"/>
          </w:r>
          <w:r>
            <w:t>5</w:t>
          </w:r>
          <w:r>
            <w:fldChar w:fldCharType="end"/>
          </w:r>
          <w:r>
            <w:rPr>
              <w:rFonts w:hint="eastAsia" w:ascii="宋体" w:hAnsi="宋体" w:eastAsia="宋体" w:cs="宋体"/>
              <w:szCs w:val="24"/>
            </w:rPr>
            <w:fldChar w:fldCharType="end"/>
          </w:r>
        </w:p>
        <w:p w14:paraId="4E7424F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_Toc18949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_Toc18949 \h </w:instrText>
          </w:r>
          <w:r>
            <w:fldChar w:fldCharType="separate"/>
          </w:r>
          <w:r>
            <w:t>5</w:t>
          </w:r>
          <w:r>
            <w:fldChar w:fldCharType="end"/>
          </w:r>
          <w:r>
            <w:rPr>
              <w:rFonts w:hint="eastAsia" w:ascii="宋体" w:hAnsi="宋体" w:eastAsia="宋体" w:cs="宋体"/>
              <w:szCs w:val="24"/>
            </w:rPr>
            <w:fldChar w:fldCharType="end"/>
          </w:r>
        </w:p>
        <w:p w14:paraId="4F14809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_Toc11384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_Toc11384 \h </w:instrText>
          </w:r>
          <w:r>
            <w:fldChar w:fldCharType="separate"/>
          </w:r>
          <w:r>
            <w:t>5</w:t>
          </w:r>
          <w:r>
            <w:fldChar w:fldCharType="end"/>
          </w:r>
          <w:r>
            <w:rPr>
              <w:rFonts w:hint="eastAsia" w:ascii="宋体" w:hAnsi="宋体" w:eastAsia="宋体" w:cs="宋体"/>
              <w:szCs w:val="24"/>
            </w:rPr>
            <w:fldChar w:fldCharType="end"/>
          </w:r>
        </w:p>
        <w:p w14:paraId="37F132C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_Toc10583 </w:instrText>
          </w:r>
          <w:r>
            <w:rPr>
              <w:rFonts w:hint="eastAsia" w:ascii="宋体" w:hAnsi="宋体" w:eastAsia="宋体" w:cs="宋体"/>
              <w:szCs w:val="24"/>
            </w:rPr>
            <w:fldChar w:fldCharType="separate"/>
          </w:r>
          <w:r>
            <w:rPr>
              <w:rFonts w:hint="default"/>
            </w:rPr>
            <w:t xml:space="preserve">4.1. </w:t>
          </w:r>
          <w:r>
            <w:t>人员</w:t>
          </w:r>
          <w:r>
            <w:tab/>
          </w:r>
          <w:r>
            <w:fldChar w:fldCharType="begin"/>
          </w:r>
          <w:r>
            <w:instrText xml:space="preserve"> PAGEREF _Toc10583 \h </w:instrText>
          </w:r>
          <w:r>
            <w:fldChar w:fldCharType="separate"/>
          </w:r>
          <w:r>
            <w:t>5</w:t>
          </w:r>
          <w:r>
            <w:fldChar w:fldCharType="end"/>
          </w:r>
          <w:r>
            <w:rPr>
              <w:rFonts w:hint="eastAsia" w:ascii="宋体" w:hAnsi="宋体" w:eastAsia="宋体" w:cs="宋体"/>
              <w:szCs w:val="24"/>
            </w:rPr>
            <w:fldChar w:fldCharType="end"/>
          </w:r>
        </w:p>
        <w:p w14:paraId="7655158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_Toc13061 </w:instrText>
          </w:r>
          <w:r>
            <w:rPr>
              <w:rFonts w:hint="eastAsia" w:ascii="宋体" w:hAnsi="宋体" w:eastAsia="宋体" w:cs="宋体"/>
              <w:szCs w:val="24"/>
            </w:rPr>
            <w:fldChar w:fldCharType="separate"/>
          </w:r>
          <w:r>
            <w:rPr>
              <w:rFonts w:hint="default"/>
            </w:rPr>
            <w:t xml:space="preserve">4.1.1. </w:t>
          </w:r>
          <w:r>
            <w:t>人力资源招聘储备制度优化</w:t>
          </w:r>
          <w:r>
            <w:tab/>
          </w:r>
          <w:r>
            <w:fldChar w:fldCharType="begin"/>
          </w:r>
          <w:r>
            <w:instrText xml:space="preserve"> PAGEREF _Toc13061 \h </w:instrText>
          </w:r>
          <w:r>
            <w:fldChar w:fldCharType="separate"/>
          </w:r>
          <w:r>
            <w:t>6</w:t>
          </w:r>
          <w:r>
            <w:fldChar w:fldCharType="end"/>
          </w:r>
          <w:r>
            <w:rPr>
              <w:rFonts w:hint="eastAsia" w:ascii="宋体" w:hAnsi="宋体" w:eastAsia="宋体" w:cs="宋体"/>
              <w:szCs w:val="24"/>
            </w:rPr>
            <w:fldChar w:fldCharType="end"/>
          </w:r>
        </w:p>
        <w:p w14:paraId="0E3227B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_Toc3655 </w:instrText>
          </w:r>
          <w:r>
            <w:rPr>
              <w:rFonts w:hint="eastAsia" w:ascii="宋体" w:hAnsi="宋体" w:eastAsia="宋体" w:cs="宋体"/>
              <w:szCs w:val="24"/>
            </w:rPr>
            <w:fldChar w:fldCharType="separate"/>
          </w:r>
          <w:r>
            <w:rPr>
              <w:rFonts w:hint="default"/>
            </w:rPr>
            <w:t xml:space="preserve">4.1.2. </w:t>
          </w:r>
          <w:r>
            <w:t>人力需求估算</w:t>
          </w:r>
          <w:r>
            <w:tab/>
          </w:r>
          <w:r>
            <w:fldChar w:fldCharType="begin"/>
          </w:r>
          <w:r>
            <w:instrText xml:space="preserve"> PAGEREF _Toc3655 \h </w:instrText>
          </w:r>
          <w:r>
            <w:fldChar w:fldCharType="separate"/>
          </w:r>
          <w:r>
            <w:t>6</w:t>
          </w:r>
          <w:r>
            <w:fldChar w:fldCharType="end"/>
          </w:r>
          <w:r>
            <w:rPr>
              <w:rFonts w:hint="eastAsia" w:ascii="宋体" w:hAnsi="宋体" w:eastAsia="宋体" w:cs="宋体"/>
              <w:szCs w:val="24"/>
            </w:rPr>
            <w:fldChar w:fldCharType="end"/>
          </w:r>
        </w:p>
        <w:p w14:paraId="69A302E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_Toc26642 </w:instrText>
          </w:r>
          <w:r>
            <w:rPr>
              <w:rFonts w:hint="eastAsia" w:ascii="宋体" w:hAnsi="宋体" w:eastAsia="宋体" w:cs="宋体"/>
              <w:szCs w:val="24"/>
            </w:rPr>
            <w:fldChar w:fldCharType="separate"/>
          </w:r>
          <w:r>
            <w:rPr>
              <w:rFonts w:hint="default"/>
              <w:lang w:val="en-US" w:eastAsia="zh-CN"/>
            </w:rPr>
            <w:t>4.1.3. 年度招聘和储备计划</w:t>
          </w:r>
          <w:r>
            <w:tab/>
          </w:r>
          <w:r>
            <w:fldChar w:fldCharType="begin"/>
          </w:r>
          <w:r>
            <w:instrText xml:space="preserve"> PAGEREF _Toc26642 \h </w:instrText>
          </w:r>
          <w:r>
            <w:fldChar w:fldCharType="separate"/>
          </w:r>
          <w:r>
            <w:t>7</w:t>
          </w:r>
          <w:r>
            <w:fldChar w:fldCharType="end"/>
          </w:r>
          <w:r>
            <w:rPr>
              <w:rFonts w:hint="eastAsia" w:ascii="宋体" w:hAnsi="宋体" w:eastAsia="宋体" w:cs="宋体"/>
              <w:szCs w:val="24"/>
            </w:rPr>
            <w:fldChar w:fldCharType="end"/>
          </w:r>
        </w:p>
        <w:p w14:paraId="195671A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_Toc23214 </w:instrText>
          </w:r>
          <w:r>
            <w:rPr>
              <w:rFonts w:hint="eastAsia" w:ascii="宋体" w:hAnsi="宋体" w:eastAsia="宋体" w:cs="宋体"/>
              <w:szCs w:val="24"/>
            </w:rPr>
            <w:fldChar w:fldCharType="separate"/>
          </w:r>
          <w:r>
            <w:rPr>
              <w:rFonts w:hint="default"/>
            </w:rPr>
            <w:t xml:space="preserve">4.1.4. </w:t>
          </w:r>
          <w:r>
            <w:t>人员培训及能力提升</w:t>
          </w:r>
          <w:r>
            <w:tab/>
          </w:r>
          <w:r>
            <w:fldChar w:fldCharType="begin"/>
          </w:r>
          <w:r>
            <w:instrText xml:space="preserve"> PAGEREF _Toc23214 \h </w:instrText>
          </w:r>
          <w:r>
            <w:fldChar w:fldCharType="separate"/>
          </w:r>
          <w:r>
            <w:t>7</w:t>
          </w:r>
          <w:r>
            <w:fldChar w:fldCharType="end"/>
          </w:r>
          <w:r>
            <w:rPr>
              <w:rFonts w:hint="eastAsia" w:ascii="宋体" w:hAnsi="宋体" w:eastAsia="宋体" w:cs="宋体"/>
              <w:szCs w:val="24"/>
            </w:rPr>
            <w:fldChar w:fldCharType="end"/>
          </w:r>
        </w:p>
        <w:p w14:paraId="18645D5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_Toc31442 </w:instrText>
          </w:r>
          <w:r>
            <w:rPr>
              <w:rFonts w:hint="eastAsia" w:ascii="宋体" w:hAnsi="宋体" w:eastAsia="宋体" w:cs="宋体"/>
              <w:szCs w:val="24"/>
            </w:rPr>
            <w:fldChar w:fldCharType="separate"/>
          </w:r>
          <w:r>
            <w:rPr>
              <w:rFonts w:hint="default"/>
            </w:rPr>
            <w:t xml:space="preserve">4.1.5. </w:t>
          </w:r>
          <w:r>
            <w:t>绩效考核</w:t>
          </w:r>
          <w:r>
            <w:tab/>
          </w:r>
          <w:r>
            <w:fldChar w:fldCharType="begin"/>
          </w:r>
          <w:r>
            <w:instrText xml:space="preserve"> PAGEREF _Toc31442 \h </w:instrText>
          </w:r>
          <w:r>
            <w:fldChar w:fldCharType="separate"/>
          </w:r>
          <w:r>
            <w:t>8</w:t>
          </w:r>
          <w:r>
            <w:fldChar w:fldCharType="end"/>
          </w:r>
          <w:r>
            <w:rPr>
              <w:rFonts w:hint="eastAsia" w:ascii="宋体" w:hAnsi="宋体" w:eastAsia="宋体" w:cs="宋体"/>
              <w:szCs w:val="24"/>
            </w:rPr>
            <w:fldChar w:fldCharType="end"/>
          </w:r>
        </w:p>
        <w:p w14:paraId="04649AD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_Toc2734 </w:instrText>
          </w:r>
          <w:r>
            <w:rPr>
              <w:rFonts w:hint="eastAsia" w:ascii="宋体" w:hAnsi="宋体" w:eastAsia="宋体" w:cs="宋体"/>
              <w:szCs w:val="24"/>
            </w:rPr>
            <w:fldChar w:fldCharType="separate"/>
          </w:r>
          <w:r>
            <w:rPr>
              <w:rFonts w:hint="default"/>
            </w:rPr>
            <w:t xml:space="preserve">4.1.6. </w:t>
          </w:r>
          <w:r>
            <w:t>能力评价</w:t>
          </w:r>
          <w:r>
            <w:tab/>
          </w:r>
          <w:r>
            <w:fldChar w:fldCharType="begin"/>
          </w:r>
          <w:r>
            <w:instrText xml:space="preserve"> PAGEREF _Toc2734 \h </w:instrText>
          </w:r>
          <w:r>
            <w:fldChar w:fldCharType="separate"/>
          </w:r>
          <w:r>
            <w:t>9</w:t>
          </w:r>
          <w:r>
            <w:fldChar w:fldCharType="end"/>
          </w:r>
          <w:r>
            <w:rPr>
              <w:rFonts w:hint="eastAsia" w:ascii="宋体" w:hAnsi="宋体" w:eastAsia="宋体" w:cs="宋体"/>
              <w:szCs w:val="24"/>
            </w:rPr>
            <w:fldChar w:fldCharType="end"/>
          </w:r>
        </w:p>
        <w:p w14:paraId="5DEAD11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_Toc16821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_Toc16821 \h </w:instrText>
          </w:r>
          <w:r>
            <w:fldChar w:fldCharType="separate"/>
          </w:r>
          <w:r>
            <w:t>9</w:t>
          </w:r>
          <w:r>
            <w:fldChar w:fldCharType="end"/>
          </w:r>
          <w:r>
            <w:rPr>
              <w:rFonts w:hint="eastAsia" w:ascii="宋体" w:hAnsi="宋体" w:eastAsia="宋体" w:cs="宋体"/>
              <w:szCs w:val="24"/>
            </w:rPr>
            <w:fldChar w:fldCharType="end"/>
          </w:r>
        </w:p>
        <w:p w14:paraId="6F32EFE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_Toc638 </w:instrText>
          </w:r>
          <w:r>
            <w:rPr>
              <w:rFonts w:hint="eastAsia" w:ascii="宋体" w:hAnsi="宋体" w:eastAsia="宋体" w:cs="宋体"/>
              <w:szCs w:val="24"/>
            </w:rPr>
            <w:fldChar w:fldCharType="separate"/>
          </w:r>
          <w:r>
            <w:rPr>
              <w:rFonts w:hint="default"/>
            </w:rPr>
            <w:t xml:space="preserve">4.2.1. </w:t>
          </w:r>
          <w:r>
            <w:t>运行维护工具</w:t>
          </w:r>
          <w:r>
            <w:tab/>
          </w:r>
          <w:r>
            <w:fldChar w:fldCharType="begin"/>
          </w:r>
          <w:r>
            <w:instrText xml:space="preserve"> PAGEREF _Toc638 \h </w:instrText>
          </w:r>
          <w:r>
            <w:fldChar w:fldCharType="separate"/>
          </w:r>
          <w:r>
            <w:t>9</w:t>
          </w:r>
          <w:r>
            <w:fldChar w:fldCharType="end"/>
          </w:r>
          <w:r>
            <w:rPr>
              <w:rFonts w:hint="eastAsia" w:ascii="宋体" w:hAnsi="宋体" w:eastAsia="宋体" w:cs="宋体"/>
              <w:szCs w:val="24"/>
            </w:rPr>
            <w:fldChar w:fldCharType="end"/>
          </w:r>
        </w:p>
        <w:p w14:paraId="6CD1D00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_Toc371 </w:instrText>
          </w:r>
          <w:r>
            <w:rPr>
              <w:rFonts w:hint="eastAsia" w:ascii="宋体" w:hAnsi="宋体" w:eastAsia="宋体" w:cs="宋体"/>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_Toc371 \h </w:instrText>
          </w:r>
          <w:r>
            <w:fldChar w:fldCharType="separate"/>
          </w:r>
          <w:r>
            <w:t>9</w:t>
          </w:r>
          <w:r>
            <w:fldChar w:fldCharType="end"/>
          </w:r>
          <w:r>
            <w:rPr>
              <w:rFonts w:hint="eastAsia" w:ascii="宋体" w:hAnsi="宋体" w:eastAsia="宋体" w:cs="宋体"/>
              <w:szCs w:val="24"/>
            </w:rPr>
            <w:fldChar w:fldCharType="end"/>
          </w:r>
        </w:p>
        <w:p w14:paraId="060FDAA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_Toc10197 </w:instrText>
          </w:r>
          <w:r>
            <w:rPr>
              <w:rFonts w:hint="eastAsia" w:ascii="宋体" w:hAnsi="宋体" w:eastAsia="宋体" w:cs="宋体"/>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_Toc10197 \h </w:instrText>
          </w:r>
          <w:r>
            <w:fldChar w:fldCharType="separate"/>
          </w:r>
          <w:r>
            <w:t>10</w:t>
          </w:r>
          <w:r>
            <w:fldChar w:fldCharType="end"/>
          </w:r>
          <w:r>
            <w:rPr>
              <w:rFonts w:hint="eastAsia" w:ascii="宋体" w:hAnsi="宋体" w:eastAsia="宋体" w:cs="宋体"/>
              <w:szCs w:val="24"/>
            </w:rPr>
            <w:fldChar w:fldCharType="end"/>
          </w:r>
        </w:p>
        <w:p w14:paraId="4B77BDD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_Toc21856 </w:instrText>
          </w:r>
          <w:r>
            <w:rPr>
              <w:rFonts w:hint="eastAsia" w:ascii="宋体" w:hAnsi="宋体" w:eastAsia="宋体" w:cs="宋体"/>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_Toc21856 \h </w:instrText>
          </w:r>
          <w:r>
            <w:fldChar w:fldCharType="separate"/>
          </w:r>
          <w:r>
            <w:t>10</w:t>
          </w:r>
          <w:r>
            <w:fldChar w:fldCharType="end"/>
          </w:r>
          <w:r>
            <w:rPr>
              <w:rFonts w:hint="eastAsia" w:ascii="宋体" w:hAnsi="宋体" w:eastAsia="宋体" w:cs="宋体"/>
              <w:szCs w:val="24"/>
            </w:rPr>
            <w:fldChar w:fldCharType="end"/>
          </w:r>
        </w:p>
        <w:p w14:paraId="38BEBF1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_Toc2910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_Toc2910 \h </w:instrText>
          </w:r>
          <w:r>
            <w:fldChar w:fldCharType="separate"/>
          </w:r>
          <w:r>
            <w:t>10</w:t>
          </w:r>
          <w:r>
            <w:fldChar w:fldCharType="end"/>
          </w:r>
          <w:r>
            <w:rPr>
              <w:rFonts w:hint="eastAsia" w:ascii="宋体" w:hAnsi="宋体" w:eastAsia="宋体" w:cs="宋体"/>
              <w:szCs w:val="24"/>
            </w:rPr>
            <w:fldChar w:fldCharType="end"/>
          </w:r>
        </w:p>
        <w:p w14:paraId="785E656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 </w:instrText>
          </w:r>
          <w:r>
            <w:rPr>
              <w:rFonts w:hint="eastAsia" w:ascii="宋体" w:hAnsi="宋体" w:eastAsia="宋体" w:cs="宋体"/>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_Toc2938 \h </w:instrText>
          </w:r>
          <w:r>
            <w:fldChar w:fldCharType="separate"/>
          </w:r>
          <w:r>
            <w:t>10</w:t>
          </w:r>
          <w:r>
            <w:fldChar w:fldCharType="end"/>
          </w:r>
          <w:r>
            <w:rPr>
              <w:rFonts w:hint="eastAsia" w:ascii="宋体" w:hAnsi="宋体" w:eastAsia="宋体" w:cs="宋体"/>
              <w:szCs w:val="24"/>
            </w:rPr>
            <w:fldChar w:fldCharType="end"/>
          </w:r>
        </w:p>
        <w:p w14:paraId="7D7ADF5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_Toc19224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_Toc19224 \h </w:instrText>
          </w:r>
          <w:r>
            <w:fldChar w:fldCharType="separate"/>
          </w:r>
          <w:r>
            <w:t>11</w:t>
          </w:r>
          <w:r>
            <w:fldChar w:fldCharType="end"/>
          </w:r>
          <w:r>
            <w:rPr>
              <w:rFonts w:hint="eastAsia" w:ascii="宋体" w:hAnsi="宋体" w:eastAsia="宋体" w:cs="宋体"/>
              <w:szCs w:val="24"/>
            </w:rPr>
            <w:fldChar w:fldCharType="end"/>
          </w:r>
        </w:p>
        <w:p w14:paraId="1CB0A7E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_Toc6610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_Toc6610 \h </w:instrText>
          </w:r>
          <w:r>
            <w:fldChar w:fldCharType="separate"/>
          </w:r>
          <w:r>
            <w:t>11</w:t>
          </w:r>
          <w:r>
            <w:fldChar w:fldCharType="end"/>
          </w:r>
          <w:r>
            <w:rPr>
              <w:rFonts w:hint="eastAsia" w:ascii="宋体" w:hAnsi="宋体" w:eastAsia="宋体" w:cs="宋体"/>
              <w:szCs w:val="24"/>
            </w:rPr>
            <w:fldChar w:fldCharType="end"/>
          </w:r>
        </w:p>
        <w:p w14:paraId="1F09894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_Toc23713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_Toc23713 \h </w:instrText>
          </w:r>
          <w:r>
            <w:fldChar w:fldCharType="separate"/>
          </w:r>
          <w:r>
            <w:t>11</w:t>
          </w:r>
          <w:r>
            <w:fldChar w:fldCharType="end"/>
          </w:r>
          <w:r>
            <w:rPr>
              <w:rFonts w:hint="eastAsia" w:ascii="宋体" w:hAnsi="宋体" w:eastAsia="宋体" w:cs="宋体"/>
              <w:szCs w:val="24"/>
            </w:rPr>
            <w:fldChar w:fldCharType="end"/>
          </w:r>
        </w:p>
        <w:p w14:paraId="138E821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_Toc16433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_Toc16433 \h </w:instrText>
          </w:r>
          <w:r>
            <w:fldChar w:fldCharType="separate"/>
          </w:r>
          <w:r>
            <w:t>11</w:t>
          </w:r>
          <w:r>
            <w:fldChar w:fldCharType="end"/>
          </w:r>
          <w:r>
            <w:rPr>
              <w:rFonts w:hint="eastAsia" w:ascii="宋体" w:hAnsi="宋体" w:eastAsia="宋体" w:cs="宋体"/>
              <w:szCs w:val="24"/>
            </w:rPr>
            <w:fldChar w:fldCharType="end"/>
          </w:r>
        </w:p>
        <w:p w14:paraId="7DC4D3A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_Toc9895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_Toc9895 \h </w:instrText>
          </w:r>
          <w:r>
            <w:fldChar w:fldCharType="separate"/>
          </w:r>
          <w:r>
            <w:t>12</w:t>
          </w:r>
          <w:r>
            <w:fldChar w:fldCharType="end"/>
          </w:r>
          <w:r>
            <w:rPr>
              <w:rFonts w:hint="eastAsia" w:ascii="宋体" w:hAnsi="宋体" w:eastAsia="宋体" w:cs="宋体"/>
              <w:szCs w:val="24"/>
            </w:rPr>
            <w:fldChar w:fldCharType="end"/>
          </w:r>
        </w:p>
        <w:p w14:paraId="6CD03B0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_Toc16454 </w:instrText>
          </w:r>
          <w:r>
            <w:rPr>
              <w:rFonts w:hint="eastAsia" w:ascii="宋体" w:hAnsi="宋体" w:eastAsia="宋体" w:cs="宋体"/>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_Toc16454 \h </w:instrText>
          </w:r>
          <w:r>
            <w:fldChar w:fldCharType="separate"/>
          </w:r>
          <w:r>
            <w:t>12</w:t>
          </w:r>
          <w:r>
            <w:fldChar w:fldCharType="end"/>
          </w:r>
          <w:r>
            <w:rPr>
              <w:rFonts w:hint="eastAsia" w:ascii="宋体" w:hAnsi="宋体" w:eastAsia="宋体" w:cs="宋体"/>
              <w:szCs w:val="24"/>
            </w:rPr>
            <w:fldChar w:fldCharType="end"/>
          </w:r>
        </w:p>
        <w:p w14:paraId="731455D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_Toc10113 </w:instrText>
          </w:r>
          <w:r>
            <w:rPr>
              <w:rFonts w:hint="eastAsia" w:ascii="宋体" w:hAnsi="宋体" w:eastAsia="宋体" w:cs="宋体"/>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_Toc10113 \h </w:instrText>
          </w:r>
          <w:r>
            <w:fldChar w:fldCharType="separate"/>
          </w:r>
          <w:r>
            <w:t>12</w:t>
          </w:r>
          <w:r>
            <w:fldChar w:fldCharType="end"/>
          </w:r>
          <w:r>
            <w:rPr>
              <w:rFonts w:hint="eastAsia" w:ascii="宋体" w:hAnsi="宋体" w:eastAsia="宋体" w:cs="宋体"/>
              <w:szCs w:val="24"/>
            </w:rPr>
            <w:fldChar w:fldCharType="end"/>
          </w:r>
        </w:p>
        <w:p w14:paraId="7A3B463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_Toc20441 </w:instrText>
          </w:r>
          <w:r>
            <w:rPr>
              <w:rFonts w:hint="eastAsia" w:ascii="宋体" w:hAnsi="宋体" w:eastAsia="宋体" w:cs="宋体"/>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_Toc20441 \h </w:instrText>
          </w:r>
          <w:r>
            <w:fldChar w:fldCharType="separate"/>
          </w:r>
          <w:r>
            <w:t>13</w:t>
          </w:r>
          <w:r>
            <w:fldChar w:fldCharType="end"/>
          </w:r>
          <w:r>
            <w:rPr>
              <w:rFonts w:hint="eastAsia" w:ascii="宋体" w:hAnsi="宋体" w:eastAsia="宋体" w:cs="宋体"/>
              <w:szCs w:val="24"/>
            </w:rPr>
            <w:fldChar w:fldCharType="end"/>
          </w:r>
        </w:p>
        <w:p w14:paraId="0154D84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_Toc16778 </w:instrText>
          </w:r>
          <w:r>
            <w:rPr>
              <w:rFonts w:hint="eastAsia" w:ascii="宋体" w:hAnsi="宋体" w:eastAsia="宋体" w:cs="宋体"/>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_Toc16778 \h </w:instrText>
          </w:r>
          <w:r>
            <w:fldChar w:fldCharType="separate"/>
          </w:r>
          <w:r>
            <w:t>13</w:t>
          </w:r>
          <w:r>
            <w:fldChar w:fldCharType="end"/>
          </w:r>
          <w:r>
            <w:rPr>
              <w:rFonts w:hint="eastAsia" w:ascii="宋体" w:hAnsi="宋体" w:eastAsia="宋体" w:cs="宋体"/>
              <w:szCs w:val="24"/>
            </w:rPr>
            <w:fldChar w:fldCharType="end"/>
          </w:r>
        </w:p>
        <w:p w14:paraId="5D0EF31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_Toc506 </w:instrText>
          </w:r>
          <w:r>
            <w:rPr>
              <w:rFonts w:hint="eastAsia" w:ascii="宋体" w:hAnsi="宋体" w:eastAsia="宋体" w:cs="宋体"/>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_Toc506 \h </w:instrText>
          </w:r>
          <w:r>
            <w:fldChar w:fldCharType="separate"/>
          </w:r>
          <w:r>
            <w:t>13</w:t>
          </w:r>
          <w:r>
            <w:fldChar w:fldCharType="end"/>
          </w:r>
          <w:r>
            <w:rPr>
              <w:rFonts w:hint="eastAsia" w:ascii="宋体" w:hAnsi="宋体" w:eastAsia="宋体" w:cs="宋体"/>
              <w:szCs w:val="24"/>
            </w:rPr>
            <w:fldChar w:fldCharType="end"/>
          </w:r>
        </w:p>
        <w:p w14:paraId="44544CD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_Toc16146 </w:instrText>
          </w:r>
          <w:r>
            <w:rPr>
              <w:rFonts w:hint="eastAsia" w:ascii="宋体" w:hAnsi="宋体" w:eastAsia="宋体" w:cs="宋体"/>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_Toc16146 \h </w:instrText>
          </w:r>
          <w:r>
            <w:fldChar w:fldCharType="separate"/>
          </w:r>
          <w:r>
            <w:t>14</w:t>
          </w:r>
          <w:r>
            <w:fldChar w:fldCharType="end"/>
          </w:r>
          <w:r>
            <w:rPr>
              <w:rFonts w:hint="eastAsia" w:ascii="宋体" w:hAnsi="宋体" w:eastAsia="宋体" w:cs="宋体"/>
              <w:szCs w:val="24"/>
            </w:rPr>
            <w:fldChar w:fldCharType="end"/>
          </w:r>
        </w:p>
        <w:p w14:paraId="362BFFC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_Toc4035 </w:instrText>
          </w:r>
          <w:r>
            <w:rPr>
              <w:rFonts w:hint="eastAsia" w:ascii="宋体" w:hAnsi="宋体" w:eastAsia="宋体" w:cs="宋体"/>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_Toc4035 \h </w:instrText>
          </w:r>
          <w:r>
            <w:fldChar w:fldCharType="separate"/>
          </w:r>
          <w:r>
            <w:t>14</w:t>
          </w:r>
          <w:r>
            <w:fldChar w:fldCharType="end"/>
          </w:r>
          <w:r>
            <w:rPr>
              <w:rFonts w:hint="eastAsia" w:ascii="宋体" w:hAnsi="宋体" w:eastAsia="宋体" w:cs="宋体"/>
              <w:szCs w:val="24"/>
            </w:rPr>
            <w:fldChar w:fldCharType="end"/>
          </w:r>
        </w:p>
        <w:p w14:paraId="3DA72E3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_Toc15410 </w:instrText>
          </w:r>
          <w:r>
            <w:rPr>
              <w:rFonts w:hint="eastAsia" w:ascii="宋体" w:hAnsi="宋体" w:eastAsia="宋体" w:cs="宋体"/>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_Toc15410 \h </w:instrText>
          </w:r>
          <w:r>
            <w:fldChar w:fldCharType="separate"/>
          </w:r>
          <w:r>
            <w:t>14</w:t>
          </w:r>
          <w:r>
            <w:fldChar w:fldCharType="end"/>
          </w:r>
          <w:r>
            <w:rPr>
              <w:rFonts w:hint="eastAsia" w:ascii="宋体" w:hAnsi="宋体" w:eastAsia="宋体" w:cs="宋体"/>
              <w:szCs w:val="24"/>
            </w:rPr>
            <w:fldChar w:fldCharType="end"/>
          </w:r>
        </w:p>
        <w:p w14:paraId="4F70516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_Toc30747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_Toc30747 \h </w:instrText>
          </w:r>
          <w:r>
            <w:fldChar w:fldCharType="separate"/>
          </w:r>
          <w:r>
            <w:t>15</w:t>
          </w:r>
          <w:r>
            <w:fldChar w:fldCharType="end"/>
          </w:r>
          <w:r>
            <w:rPr>
              <w:rFonts w:hint="eastAsia" w:ascii="宋体" w:hAnsi="宋体" w:eastAsia="宋体" w:cs="宋体"/>
              <w:szCs w:val="24"/>
            </w:rPr>
            <w:fldChar w:fldCharType="end"/>
          </w:r>
        </w:p>
        <w:p w14:paraId="2C79070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_Toc27316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_Toc27316 \h </w:instrText>
          </w:r>
          <w:r>
            <w:fldChar w:fldCharType="separate"/>
          </w:r>
          <w:r>
            <w:t>15</w:t>
          </w:r>
          <w:r>
            <w:fldChar w:fldCharType="end"/>
          </w:r>
          <w:r>
            <w:rPr>
              <w:rFonts w:hint="eastAsia" w:ascii="宋体" w:hAnsi="宋体" w:eastAsia="宋体" w:cs="宋体"/>
              <w:szCs w:val="24"/>
            </w:rPr>
            <w:fldChar w:fldCharType="end"/>
          </w:r>
        </w:p>
        <w:p w14:paraId="380C6FC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_Toc8714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_Toc8714 \h </w:instrText>
          </w:r>
          <w:r>
            <w:fldChar w:fldCharType="separate"/>
          </w:r>
          <w:r>
            <w:t>15</w:t>
          </w:r>
          <w:r>
            <w:fldChar w:fldCharType="end"/>
          </w:r>
          <w:r>
            <w:rPr>
              <w:rFonts w:hint="eastAsia" w:ascii="宋体" w:hAnsi="宋体" w:eastAsia="宋体" w:cs="宋体"/>
              <w:szCs w:val="24"/>
            </w:rPr>
            <w:fldChar w:fldCharType="end"/>
          </w:r>
        </w:p>
        <w:p w14:paraId="55FD9C5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_Toc2074 </w:instrText>
          </w:r>
          <w:r>
            <w:rPr>
              <w:rFonts w:hint="eastAsia" w:ascii="宋体" w:hAnsi="宋体" w:eastAsia="宋体" w:cs="宋体"/>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_Toc2074 \h </w:instrText>
          </w:r>
          <w:r>
            <w:fldChar w:fldCharType="separate"/>
          </w:r>
          <w:r>
            <w:t>15</w:t>
          </w:r>
          <w:r>
            <w:fldChar w:fldCharType="end"/>
          </w:r>
          <w:r>
            <w:rPr>
              <w:rFonts w:hint="eastAsia" w:ascii="宋体" w:hAnsi="宋体" w:eastAsia="宋体" w:cs="宋体"/>
              <w:szCs w:val="24"/>
            </w:rPr>
            <w:fldChar w:fldCharType="end"/>
          </w:r>
        </w:p>
        <w:p w14:paraId="038EBB1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_Toc17765 </w:instrText>
          </w:r>
          <w:r>
            <w:rPr>
              <w:rFonts w:hint="eastAsia" w:ascii="宋体" w:hAnsi="宋体" w:eastAsia="宋体" w:cs="宋体"/>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_Toc17765 \h </w:instrText>
          </w:r>
          <w:r>
            <w:fldChar w:fldCharType="separate"/>
          </w:r>
          <w:r>
            <w:t>16</w:t>
          </w:r>
          <w:r>
            <w:fldChar w:fldCharType="end"/>
          </w:r>
          <w:r>
            <w:rPr>
              <w:rFonts w:hint="eastAsia" w:ascii="宋体" w:hAnsi="宋体" w:eastAsia="宋体" w:cs="宋体"/>
              <w:szCs w:val="24"/>
            </w:rPr>
            <w:fldChar w:fldCharType="end"/>
          </w:r>
        </w:p>
        <w:p w14:paraId="66289FE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_Toc17406 </w:instrText>
          </w:r>
          <w:r>
            <w:rPr>
              <w:rFonts w:hint="eastAsia" w:ascii="宋体" w:hAnsi="宋体" w:eastAsia="宋体" w:cs="宋体"/>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_Toc17406 \h </w:instrText>
          </w:r>
          <w:r>
            <w:fldChar w:fldCharType="separate"/>
          </w:r>
          <w:r>
            <w:t>16</w:t>
          </w:r>
          <w:r>
            <w:fldChar w:fldCharType="end"/>
          </w:r>
          <w:r>
            <w:rPr>
              <w:rFonts w:hint="eastAsia" w:ascii="宋体" w:hAnsi="宋体" w:eastAsia="宋体" w:cs="宋体"/>
              <w:szCs w:val="24"/>
            </w:rPr>
            <w:fldChar w:fldCharType="end"/>
          </w:r>
        </w:p>
        <w:p w14:paraId="78EA4EC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_Toc22005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_Toc22005 \h </w:instrText>
          </w:r>
          <w:r>
            <w:fldChar w:fldCharType="separate"/>
          </w:r>
          <w:r>
            <w:t>16</w:t>
          </w:r>
          <w:r>
            <w:fldChar w:fldCharType="end"/>
          </w:r>
          <w:r>
            <w:rPr>
              <w:rFonts w:hint="eastAsia" w:ascii="宋体" w:hAnsi="宋体" w:eastAsia="宋体" w:cs="宋体"/>
              <w:szCs w:val="24"/>
            </w:rPr>
            <w:fldChar w:fldCharType="end"/>
          </w:r>
        </w:p>
        <w:p w14:paraId="677F987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_Toc9022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_Toc9022 \h </w:instrText>
          </w:r>
          <w:r>
            <w:fldChar w:fldCharType="separate"/>
          </w:r>
          <w:r>
            <w:t>16</w:t>
          </w:r>
          <w:r>
            <w:fldChar w:fldCharType="end"/>
          </w:r>
          <w:r>
            <w:rPr>
              <w:rFonts w:hint="eastAsia" w:ascii="宋体" w:hAnsi="宋体" w:eastAsia="宋体" w:cs="宋体"/>
              <w:szCs w:val="24"/>
            </w:rPr>
            <w:fldChar w:fldCharType="end"/>
          </w:r>
        </w:p>
        <w:p w14:paraId="26D3F2D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_Toc27782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_Toc27782 \h </w:instrText>
          </w:r>
          <w:r>
            <w:fldChar w:fldCharType="separate"/>
          </w:r>
          <w:r>
            <w:t>16</w:t>
          </w:r>
          <w:r>
            <w:fldChar w:fldCharType="end"/>
          </w:r>
          <w:r>
            <w:rPr>
              <w:rFonts w:hint="eastAsia" w:ascii="宋体" w:hAnsi="宋体" w:eastAsia="宋体" w:cs="宋体"/>
              <w:szCs w:val="24"/>
            </w:rPr>
            <w:fldChar w:fldCharType="end"/>
          </w:r>
        </w:p>
        <w:p w14:paraId="057C445B">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0862A0C">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6A91442A">
      <w:pPr>
        <w:pStyle w:val="28"/>
        <w:bidi w:val="0"/>
      </w:pPr>
      <w:bookmarkStart w:id="2" w:name="_Toc13364"/>
      <w:r>
        <w:t>目的</w:t>
      </w:r>
      <w:bookmarkEnd w:id="2"/>
    </w:p>
    <w:p w14:paraId="75F91555">
      <w:pPr>
        <w:pStyle w:val="29"/>
        <w:bidi w:val="0"/>
      </w:pPr>
      <w:r>
        <w:t>为了分解部门工作目标，细化部门工作内容，规范员工工作行为，充分发挥员工工作积极性和能动性，现制定2025年运维服务能力管理</w:t>
      </w:r>
      <w:r>
        <w:rPr>
          <w:rFonts w:hint="eastAsia"/>
          <w:lang w:val="en-US" w:eastAsia="zh-CN"/>
        </w:rPr>
        <w:t>计划</w:t>
      </w:r>
      <w:r>
        <w:t>。</w:t>
      </w:r>
    </w:p>
    <w:p w14:paraId="296FF674">
      <w:pPr>
        <w:pStyle w:val="29"/>
        <w:bidi w:val="0"/>
      </w:pPr>
      <w:r>
        <w:t>在公司的总体战略规划要求下，在2025年，运维收入计划增长率为10%，为实现这一目标，必须保证我们的运维服务能力有效进行，保障完成人员、资源、技术、过程四要素、应急交付和质量管理要求各项指标。</w:t>
      </w:r>
    </w:p>
    <w:p w14:paraId="52E1B0BC">
      <w:pPr>
        <w:pStyle w:val="28"/>
        <w:bidi w:val="0"/>
        <w:rPr>
          <w:rFonts w:hint="eastAsia"/>
          <w:lang w:val="en-US" w:eastAsia="zh-CN"/>
        </w:rPr>
      </w:pPr>
      <w:bookmarkStart w:id="3" w:name="_Toc23952"/>
      <w:r>
        <w:rPr>
          <w:rFonts w:hint="eastAsia"/>
          <w:lang w:val="en-US" w:eastAsia="zh-CN"/>
        </w:rPr>
        <w:t>原则</w:t>
      </w:r>
      <w:bookmarkEnd w:id="3"/>
    </w:p>
    <w:p w14:paraId="4244965A">
      <w:pPr>
        <w:pStyle w:val="29"/>
        <w:numPr>
          <w:ilvl w:val="0"/>
          <w:numId w:val="2"/>
        </w:numPr>
        <w:ind w:left="425" w:leftChars="0" w:hanging="425" w:firstLineChars="0"/>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14:paraId="3E353AF3">
      <w:pPr>
        <w:pStyle w:val="29"/>
        <w:numPr>
          <w:ilvl w:val="0"/>
          <w:numId w:val="2"/>
        </w:numPr>
        <w:ind w:left="425" w:leftChars="0" w:hanging="425" w:firstLineChars="0"/>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14:paraId="10D350AF">
      <w:pPr>
        <w:pStyle w:val="29"/>
        <w:numPr>
          <w:ilvl w:val="0"/>
          <w:numId w:val="2"/>
        </w:numPr>
        <w:ind w:left="425" w:leftChars="0" w:hanging="425" w:firstLineChars="0"/>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14:paraId="269637D9">
      <w:pPr>
        <w:pStyle w:val="29"/>
        <w:numPr>
          <w:ilvl w:val="0"/>
          <w:numId w:val="2"/>
        </w:numPr>
        <w:ind w:left="425" w:leftChars="0" w:hanging="425" w:firstLineChars="0"/>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14:paraId="135460CF">
      <w:pPr>
        <w:pStyle w:val="29"/>
        <w:numPr>
          <w:ilvl w:val="0"/>
          <w:numId w:val="2"/>
        </w:numPr>
        <w:ind w:left="425" w:leftChars="0" w:hanging="425" w:firstLineChars="0"/>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14:paraId="49A96274">
      <w:pPr>
        <w:pStyle w:val="28"/>
        <w:bidi w:val="0"/>
      </w:pPr>
      <w:bookmarkStart w:id="4" w:name="_Toc18949"/>
      <w:r>
        <w:rPr>
          <w:rFonts w:hint="eastAsia"/>
          <w:lang w:val="en-US" w:eastAsia="zh-CN"/>
        </w:rPr>
        <w:t>适用</w:t>
      </w:r>
      <w:r>
        <w:t>范围</w:t>
      </w:r>
      <w:bookmarkEnd w:id="4"/>
    </w:p>
    <w:p w14:paraId="5D1B55B7">
      <w:pPr>
        <w:pStyle w:val="29"/>
        <w:rPr>
          <w:rFonts w:hint="default" w:eastAsia="宋体"/>
          <w:lang w:val="en-US" w:eastAsia="zh-CN"/>
        </w:rPr>
      </w:pPr>
      <w:r>
        <w:rPr>
          <w:rFonts w:hint="eastAsia"/>
          <w:lang w:val="en-US" w:eastAsia="zh-CN"/>
        </w:rPr>
        <w:t>公司运维服务的全过程。</w:t>
      </w:r>
    </w:p>
    <w:p w14:paraId="49A2202D">
      <w:pPr>
        <w:pStyle w:val="28"/>
        <w:bidi w:val="0"/>
        <w:rPr>
          <w:rFonts w:hint="default"/>
          <w:lang w:val="en-US" w:eastAsia="zh-CN"/>
        </w:rPr>
      </w:pPr>
      <w:bookmarkStart w:id="5" w:name="_Toc11384"/>
      <w:r>
        <w:rPr>
          <w:rFonts w:hint="eastAsia"/>
          <w:lang w:val="en-US" w:eastAsia="zh-CN"/>
        </w:rPr>
        <w:t>运维能力管理实施</w:t>
      </w:r>
      <w:bookmarkEnd w:id="5"/>
    </w:p>
    <w:p w14:paraId="157A0320">
      <w:pPr>
        <w:pStyle w:val="30"/>
        <w:bidi w:val="0"/>
      </w:pPr>
      <w:bookmarkStart w:id="6" w:name="_Toc10583"/>
      <w:r>
        <w:t>人员</w:t>
      </w:r>
      <w:bookmarkEnd w:id="6"/>
    </w:p>
    <w:p w14:paraId="14055767">
      <w:pPr>
        <w:pStyle w:val="29"/>
        <w:bidi w:val="0"/>
        <w:rPr>
          <w:rFonts w:hint="eastAsia"/>
        </w:rPr>
      </w:pPr>
      <w:r>
        <w:rPr>
          <w:rFonts w:hint="eastAsia"/>
        </w:rPr>
        <w:t>2024年，伴随运维业务的迅速扩展及一定程度的人员流动，公司运维板块一度面临人力资源结构性短缺与储备不足的挑战。为保障2025年运维服务体系持续稳定与高效运作，公司将系统评估人力资源需求，审慎制定并实施系统化的人力资源储备与发展规划。</w:t>
      </w:r>
    </w:p>
    <w:p w14:paraId="0ABC3090">
      <w:pPr>
        <w:pStyle w:val="29"/>
        <w:bidi w:val="0"/>
      </w:pPr>
      <w:r>
        <w:rPr>
          <w:rFonts w:hint="eastAsia"/>
        </w:rPr>
        <w:t>针对当前制度管理中存在的薄弱环节，公司将着力推进相关管理机制的优化与完善工作。在人力资源储备方面，将综合考量员工离职率、业务增长趋势及技术演进方向等多重因素，通过内外部协同、多渠道引进的方式强化人才梯队建设。具体举措包括：系统性收集与整合内外部人才信息，逐步构建动态化、系统化的人才储备库；强化人才能力的量化评估与岗位适配管理，建立健全层次分明、持续优化的人才培养与接替机制，为运维业务高质量发展提供坚实的人才支撑。</w:t>
      </w:r>
    </w:p>
    <w:p w14:paraId="556957CA">
      <w:pPr>
        <w:pStyle w:val="31"/>
        <w:bidi w:val="0"/>
      </w:pPr>
      <w:bookmarkStart w:id="7" w:name="bookmark9"/>
      <w:bookmarkEnd w:id="7"/>
      <w:bookmarkStart w:id="8" w:name="_Toc13061"/>
      <w:r>
        <w:t>人力资源招聘储备制度优化</w:t>
      </w:r>
      <w:bookmarkEnd w:id="8"/>
    </w:p>
    <w:p w14:paraId="0275A392">
      <w:pPr>
        <w:pStyle w:val="29"/>
        <w:bidi w:val="0"/>
      </w:pPr>
      <w:r>
        <w:t>规划2025年对人员招聘制度、员工培训制度进行完善，在人员储备制度上针对重点岗位的储备办法需要完善。</w:t>
      </w:r>
    </w:p>
    <w:p w14:paraId="0B64AA32">
      <w:pPr>
        <w:pStyle w:val="31"/>
        <w:bidi w:val="0"/>
      </w:pPr>
      <w:bookmarkStart w:id="9" w:name="bookmark10"/>
      <w:bookmarkEnd w:id="9"/>
      <w:bookmarkStart w:id="10" w:name="_Toc3655"/>
      <w:r>
        <w:t>人力需求估算</w:t>
      </w:r>
      <w:bookmarkEnd w:id="10"/>
    </w:p>
    <w:p w14:paraId="7955C33C">
      <w:pPr>
        <w:pStyle w:val="29"/>
        <w:bidi w:val="0"/>
      </w:pPr>
      <w:r>
        <w:t>根据</w:t>
      </w:r>
      <w:r>
        <w:rPr>
          <w:rFonts w:hint="eastAsia"/>
          <w:lang w:val="en-US" w:eastAsia="zh-CN"/>
        </w:rPr>
        <w:t>运维相关</w:t>
      </w:r>
      <w:r>
        <w:t>部门2025年运维工作任务目标和工作重点安排，并结合公司年度人力需求规划完成人力需求估算。</w:t>
      </w:r>
    </w:p>
    <w:p w14:paraId="372664C1">
      <w:pPr>
        <w:pStyle w:val="29"/>
        <w:bidi w:val="0"/>
        <w:rPr>
          <w:rFonts w:hint="eastAsia"/>
          <w:lang w:val="en-US" w:eastAsia="zh-CN"/>
        </w:rPr>
      </w:pPr>
      <w:r>
        <w:t>2025年运维相关各岗位</w:t>
      </w:r>
      <w:r>
        <w:rPr>
          <w:rFonts w:hint="eastAsia"/>
          <w:lang w:val="en-US" w:eastAsia="zh-CN"/>
        </w:rPr>
        <w:t>招聘</w:t>
      </w:r>
      <w:r>
        <w:t>人员</w:t>
      </w:r>
      <w:r>
        <w:rPr>
          <w:rFonts w:hint="eastAsia"/>
          <w:lang w:val="en-US" w:eastAsia="zh-CN"/>
        </w:rPr>
        <w:t>如表4-1所示。</w:t>
      </w:r>
    </w:p>
    <w:p w14:paraId="6DC6CC75">
      <w:pPr>
        <w:pStyle w:val="29"/>
        <w:bidi w:val="0"/>
        <w:rPr>
          <w:rFonts w:hint="default"/>
          <w:lang w:val="en-US" w:eastAsia="zh-CN"/>
        </w:rPr>
      </w:pPr>
      <w:r>
        <w:rPr>
          <w:rFonts w:hint="eastAsia"/>
          <w:lang w:val="en-US" w:eastAsia="zh-CN"/>
        </w:rPr>
        <w:t>2025年运维相关各岗位储备人员如表4-2所示</w:t>
      </w:r>
    </w:p>
    <w:p w14:paraId="1BF898E8">
      <w:pPr>
        <w:pStyle w:val="29"/>
        <w:bidi w:val="0"/>
        <w:jc w:val="cente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t>2025年运维相关人员招聘计划</w:t>
      </w:r>
    </w:p>
    <w:p w14:paraId="33387A3D">
      <w:pPr>
        <w:spacing w:line="46" w:lineRule="exact"/>
      </w:pPr>
    </w:p>
    <w:tbl>
      <w:tblPr>
        <w:tblStyle w:val="26"/>
        <w:tblW w:w="9434" w:type="dxa"/>
        <w:tblInd w:w="1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0"/>
        <w:gridCol w:w="1794"/>
        <w:gridCol w:w="1943"/>
        <w:gridCol w:w="1463"/>
        <w:gridCol w:w="1948"/>
        <w:gridCol w:w="1566"/>
      </w:tblGrid>
      <w:tr w14:paraId="458BFB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720" w:type="dxa"/>
            <w:vAlign w:val="center"/>
          </w:tcPr>
          <w:p w14:paraId="0E6BE6E4">
            <w:pPr>
              <w:spacing w:before="185" w:line="229" w:lineRule="auto"/>
              <w:ind w:left="158"/>
              <w:rPr>
                <w:rFonts w:ascii="宋体" w:hAnsi="宋体" w:eastAsia="宋体" w:cs="宋体"/>
                <w:sz w:val="20"/>
                <w:szCs w:val="20"/>
              </w:rPr>
            </w:pPr>
            <w:r>
              <w:rPr>
                <w:rFonts w:ascii="宋体" w:hAnsi="宋体" w:eastAsia="宋体" w:cs="宋体"/>
                <w:b/>
                <w:bCs/>
                <w:sz w:val="20"/>
                <w:szCs w:val="20"/>
              </w:rPr>
              <w:t>序号</w:t>
            </w:r>
          </w:p>
        </w:tc>
        <w:tc>
          <w:tcPr>
            <w:tcW w:w="1794" w:type="dxa"/>
            <w:vAlign w:val="center"/>
          </w:tcPr>
          <w:p w14:paraId="7DCAC613">
            <w:pPr>
              <w:spacing w:before="185" w:line="228" w:lineRule="auto"/>
              <w:ind w:left="488"/>
              <w:rPr>
                <w:rFonts w:ascii="宋体" w:hAnsi="宋体" w:eastAsia="宋体" w:cs="宋体"/>
                <w:sz w:val="20"/>
                <w:szCs w:val="20"/>
              </w:rPr>
            </w:pPr>
            <w:r>
              <w:rPr>
                <w:rFonts w:ascii="宋体" w:hAnsi="宋体" w:eastAsia="宋体" w:cs="宋体"/>
                <w:b/>
                <w:bCs/>
                <w:sz w:val="20"/>
                <w:szCs w:val="20"/>
              </w:rPr>
              <w:t>招聘岗位</w:t>
            </w:r>
          </w:p>
        </w:tc>
        <w:tc>
          <w:tcPr>
            <w:tcW w:w="1943" w:type="dxa"/>
            <w:vAlign w:val="center"/>
          </w:tcPr>
          <w:p w14:paraId="1DBE95F8">
            <w:pPr>
              <w:spacing w:before="185" w:line="228" w:lineRule="auto"/>
              <w:ind w:left="568"/>
              <w:rPr>
                <w:rFonts w:ascii="宋体" w:hAnsi="宋体" w:eastAsia="宋体" w:cs="宋体"/>
                <w:sz w:val="20"/>
                <w:szCs w:val="20"/>
              </w:rPr>
            </w:pPr>
            <w:r>
              <w:rPr>
                <w:rFonts w:ascii="宋体" w:hAnsi="宋体" w:eastAsia="宋体" w:cs="宋体"/>
                <w:b/>
                <w:bCs/>
                <w:spacing w:val="-2"/>
                <w:sz w:val="20"/>
                <w:szCs w:val="20"/>
              </w:rPr>
              <w:t>工作地点</w:t>
            </w:r>
          </w:p>
        </w:tc>
        <w:tc>
          <w:tcPr>
            <w:tcW w:w="1463" w:type="dxa"/>
            <w:vAlign w:val="center"/>
          </w:tcPr>
          <w:p w14:paraId="51700A75">
            <w:pPr>
              <w:spacing w:before="184" w:line="227" w:lineRule="auto"/>
              <w:ind w:left="218"/>
              <w:rPr>
                <w:rFonts w:ascii="宋体" w:hAnsi="宋体" w:eastAsia="宋体" w:cs="宋体"/>
                <w:sz w:val="20"/>
                <w:szCs w:val="20"/>
              </w:rPr>
            </w:pPr>
            <w:r>
              <w:rPr>
                <w:rFonts w:ascii="宋体" w:hAnsi="宋体" w:eastAsia="宋体" w:cs="宋体"/>
                <w:b/>
                <w:bCs/>
                <w:sz w:val="20"/>
                <w:szCs w:val="20"/>
              </w:rPr>
              <w:t>拟招聘人数</w:t>
            </w:r>
          </w:p>
        </w:tc>
        <w:tc>
          <w:tcPr>
            <w:tcW w:w="1948" w:type="dxa"/>
            <w:vAlign w:val="center"/>
          </w:tcPr>
          <w:p w14:paraId="63ADAA48">
            <w:pPr>
              <w:spacing w:before="185" w:line="229" w:lineRule="auto"/>
              <w:ind w:left="579"/>
              <w:rPr>
                <w:rFonts w:ascii="宋体" w:hAnsi="宋体" w:eastAsia="宋体" w:cs="宋体"/>
                <w:sz w:val="20"/>
                <w:szCs w:val="20"/>
              </w:rPr>
            </w:pPr>
            <w:r>
              <w:rPr>
                <w:rFonts w:ascii="宋体" w:hAnsi="宋体" w:eastAsia="宋体" w:cs="宋体"/>
                <w:b/>
                <w:bCs/>
                <w:spacing w:val="-3"/>
                <w:sz w:val="20"/>
                <w:szCs w:val="20"/>
              </w:rPr>
              <w:t>学历要求</w:t>
            </w:r>
          </w:p>
        </w:tc>
        <w:tc>
          <w:tcPr>
            <w:tcW w:w="1566" w:type="dxa"/>
            <w:vAlign w:val="center"/>
          </w:tcPr>
          <w:p w14:paraId="75F0145A">
            <w:pPr>
              <w:spacing w:before="185" w:line="228" w:lineRule="auto"/>
              <w:ind w:left="375"/>
              <w:rPr>
                <w:rFonts w:ascii="宋体" w:hAnsi="宋体" w:eastAsia="宋体" w:cs="宋体"/>
                <w:sz w:val="20"/>
                <w:szCs w:val="20"/>
              </w:rPr>
            </w:pPr>
            <w:r>
              <w:rPr>
                <w:rFonts w:ascii="宋体" w:hAnsi="宋体" w:eastAsia="宋体" w:cs="宋体"/>
                <w:b/>
                <w:bCs/>
                <w:sz w:val="20"/>
                <w:szCs w:val="20"/>
              </w:rPr>
              <w:t>入职日期</w:t>
            </w:r>
          </w:p>
        </w:tc>
      </w:tr>
      <w:tr w14:paraId="18CEA5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27" w:hRule="atLeast"/>
        </w:trPr>
        <w:tc>
          <w:tcPr>
            <w:tcW w:w="720" w:type="dxa"/>
            <w:vAlign w:val="center"/>
          </w:tcPr>
          <w:p w14:paraId="5128EC42">
            <w:pPr>
              <w:numPr>
                <w:ilvl w:val="0"/>
                <w:numId w:val="3"/>
              </w:numPr>
              <w:spacing w:before="65" w:line="270" w:lineRule="exact"/>
              <w:ind w:left="425" w:leftChars="0" w:hanging="425" w:firstLineChars="0"/>
              <w:jc w:val="center"/>
              <w:rPr>
                <w:rFonts w:ascii="宋体" w:hAnsi="宋体" w:eastAsia="宋体" w:cs="宋体"/>
                <w:sz w:val="20"/>
                <w:szCs w:val="20"/>
              </w:rPr>
            </w:pPr>
          </w:p>
        </w:tc>
        <w:tc>
          <w:tcPr>
            <w:tcW w:w="1794" w:type="dxa"/>
            <w:vAlign w:val="center"/>
          </w:tcPr>
          <w:p w14:paraId="7FEFCAB3">
            <w:pPr>
              <w:spacing w:before="65" w:line="227" w:lineRule="auto"/>
              <w:ind w:left="124"/>
              <w:jc w:val="center"/>
              <w:rPr>
                <w:rFonts w:ascii="宋体" w:hAnsi="宋体" w:eastAsia="宋体" w:cs="宋体"/>
                <w:spacing w:val="4"/>
                <w:sz w:val="20"/>
                <w:szCs w:val="20"/>
              </w:rPr>
            </w:pPr>
            <w:r>
              <w:rPr>
                <w:rFonts w:ascii="宋体" w:hAnsi="宋体" w:eastAsia="宋体" w:cs="宋体"/>
                <w:spacing w:val="4"/>
                <w:sz w:val="20"/>
                <w:szCs w:val="20"/>
              </w:rPr>
              <w:t>软件运维工程师</w:t>
            </w:r>
          </w:p>
        </w:tc>
        <w:tc>
          <w:tcPr>
            <w:tcW w:w="1943" w:type="dxa"/>
            <w:vAlign w:val="center"/>
          </w:tcPr>
          <w:p w14:paraId="7768DC9A">
            <w:pPr>
              <w:spacing w:before="65" w:line="228" w:lineRule="auto"/>
              <w:ind w:left="125"/>
              <w:jc w:val="center"/>
              <w:rPr>
                <w:rFonts w:hint="eastAsia" w:ascii="宋体" w:hAnsi="宋体" w:eastAsia="宋体" w:cs="宋体"/>
                <w:sz w:val="20"/>
                <w:szCs w:val="20"/>
                <w:lang w:eastAsia="zh-CN"/>
              </w:rPr>
            </w:pPr>
            <w:r>
              <w:rPr>
                <w:rFonts w:hint="eastAsia" w:ascii="宋体" w:hAnsi="宋体" w:eastAsia="宋体" w:cs="宋体"/>
                <w:spacing w:val="1"/>
                <w:sz w:val="20"/>
                <w:szCs w:val="20"/>
                <w:lang w:val="en-US" w:eastAsia="zh-CN"/>
              </w:rPr>
              <w:t>青岛市</w:t>
            </w:r>
          </w:p>
        </w:tc>
        <w:tc>
          <w:tcPr>
            <w:tcW w:w="1463" w:type="dxa"/>
            <w:vAlign w:val="center"/>
          </w:tcPr>
          <w:p w14:paraId="0F91FA2C">
            <w:pPr>
              <w:spacing w:before="65" w:line="270" w:lineRule="exact"/>
              <w:ind w:left="721"/>
              <w:rPr>
                <w:rFonts w:ascii="宋体" w:hAnsi="宋体" w:eastAsia="宋体" w:cs="宋体"/>
                <w:sz w:val="20"/>
                <w:szCs w:val="20"/>
              </w:rPr>
            </w:pPr>
            <w:r>
              <w:rPr>
                <w:rFonts w:ascii="宋体" w:hAnsi="宋体" w:eastAsia="宋体" w:cs="宋体"/>
                <w:position w:val="1"/>
                <w:sz w:val="20"/>
                <w:szCs w:val="20"/>
              </w:rPr>
              <w:t>1</w:t>
            </w:r>
          </w:p>
        </w:tc>
        <w:tc>
          <w:tcPr>
            <w:tcW w:w="1948" w:type="dxa"/>
            <w:vAlign w:val="center"/>
          </w:tcPr>
          <w:p w14:paraId="5B46142D">
            <w:pPr>
              <w:spacing w:before="65" w:line="227" w:lineRule="auto"/>
              <w:ind w:left="124"/>
              <w:rPr>
                <w:rFonts w:ascii="宋体" w:hAnsi="宋体" w:eastAsia="宋体" w:cs="宋体"/>
                <w:sz w:val="20"/>
                <w:szCs w:val="20"/>
              </w:rPr>
            </w:pPr>
            <w:r>
              <w:rPr>
                <w:rFonts w:ascii="宋体" w:hAnsi="宋体" w:eastAsia="宋体" w:cs="宋体"/>
                <w:spacing w:val="4"/>
                <w:sz w:val="20"/>
                <w:szCs w:val="20"/>
              </w:rPr>
              <w:t>专科及以上学历</w:t>
            </w:r>
          </w:p>
        </w:tc>
        <w:tc>
          <w:tcPr>
            <w:tcW w:w="1566" w:type="dxa"/>
            <w:vAlign w:val="center"/>
          </w:tcPr>
          <w:p w14:paraId="3617F3FA">
            <w:pPr>
              <w:spacing w:before="65" w:line="228" w:lineRule="auto"/>
              <w:ind w:left="129"/>
              <w:rPr>
                <w:rFonts w:ascii="宋体" w:hAnsi="宋体" w:eastAsia="宋体" w:cs="宋体"/>
                <w:sz w:val="20"/>
                <w:szCs w:val="20"/>
              </w:rPr>
            </w:pPr>
            <w:r>
              <w:rPr>
                <w:rFonts w:ascii="宋体" w:hAnsi="宋体" w:eastAsia="宋体" w:cs="宋体"/>
                <w:spacing w:val="10"/>
                <w:sz w:val="20"/>
                <w:szCs w:val="20"/>
              </w:rPr>
              <w:t>2025年6月</w:t>
            </w:r>
          </w:p>
        </w:tc>
      </w:tr>
      <w:tr w14:paraId="111E56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7" w:hRule="atLeast"/>
        </w:trPr>
        <w:tc>
          <w:tcPr>
            <w:tcW w:w="720" w:type="dxa"/>
            <w:vAlign w:val="center"/>
          </w:tcPr>
          <w:p w14:paraId="3457A87E">
            <w:pPr>
              <w:numPr>
                <w:ilvl w:val="0"/>
                <w:numId w:val="3"/>
              </w:numPr>
              <w:spacing w:before="65" w:line="270" w:lineRule="exact"/>
              <w:ind w:left="425" w:leftChars="0" w:hanging="425" w:firstLineChars="0"/>
              <w:jc w:val="center"/>
              <w:rPr>
                <w:rFonts w:ascii="宋体" w:hAnsi="宋体" w:eastAsia="宋体" w:cs="宋体"/>
                <w:sz w:val="20"/>
                <w:szCs w:val="20"/>
              </w:rPr>
            </w:pPr>
          </w:p>
        </w:tc>
        <w:tc>
          <w:tcPr>
            <w:tcW w:w="1794" w:type="dxa"/>
            <w:vAlign w:val="center"/>
          </w:tcPr>
          <w:p w14:paraId="271FF528">
            <w:pPr>
              <w:spacing w:before="65" w:line="227" w:lineRule="auto"/>
              <w:ind w:left="124"/>
              <w:jc w:val="center"/>
              <w:rPr>
                <w:rFonts w:ascii="宋体" w:hAnsi="宋体" w:eastAsia="宋体" w:cs="宋体"/>
                <w:spacing w:val="4"/>
                <w:sz w:val="20"/>
                <w:szCs w:val="20"/>
              </w:rPr>
            </w:pPr>
            <w:r>
              <w:rPr>
                <w:rFonts w:ascii="宋体" w:hAnsi="宋体" w:eastAsia="宋体" w:cs="宋体"/>
                <w:spacing w:val="4"/>
                <w:sz w:val="20"/>
                <w:szCs w:val="20"/>
              </w:rPr>
              <w:t>研发工程师</w:t>
            </w:r>
          </w:p>
        </w:tc>
        <w:tc>
          <w:tcPr>
            <w:tcW w:w="1943" w:type="dxa"/>
            <w:vAlign w:val="center"/>
          </w:tcPr>
          <w:p w14:paraId="473A39F6">
            <w:pPr>
              <w:spacing w:before="65" w:line="228" w:lineRule="auto"/>
              <w:ind w:left="125"/>
              <w:jc w:val="center"/>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青岛市</w:t>
            </w:r>
          </w:p>
        </w:tc>
        <w:tc>
          <w:tcPr>
            <w:tcW w:w="1463" w:type="dxa"/>
            <w:vAlign w:val="center"/>
          </w:tcPr>
          <w:p w14:paraId="44E29161">
            <w:pPr>
              <w:spacing w:before="65" w:line="270" w:lineRule="exact"/>
              <w:ind w:left="721"/>
              <w:rPr>
                <w:rFonts w:ascii="宋体" w:hAnsi="宋体" w:eastAsia="宋体" w:cs="宋体"/>
                <w:sz w:val="20"/>
                <w:szCs w:val="20"/>
              </w:rPr>
            </w:pPr>
            <w:r>
              <w:rPr>
                <w:rFonts w:ascii="宋体" w:hAnsi="宋体" w:eastAsia="宋体" w:cs="宋体"/>
                <w:position w:val="1"/>
                <w:sz w:val="20"/>
                <w:szCs w:val="20"/>
              </w:rPr>
              <w:t>1</w:t>
            </w:r>
          </w:p>
        </w:tc>
        <w:tc>
          <w:tcPr>
            <w:tcW w:w="1948" w:type="dxa"/>
            <w:vAlign w:val="center"/>
          </w:tcPr>
          <w:p w14:paraId="71A5B9F0">
            <w:pPr>
              <w:spacing w:before="65" w:line="227" w:lineRule="auto"/>
              <w:ind w:left="124"/>
              <w:rPr>
                <w:rFonts w:ascii="宋体" w:hAnsi="宋体" w:eastAsia="宋体" w:cs="宋体"/>
                <w:sz w:val="20"/>
                <w:szCs w:val="20"/>
              </w:rPr>
            </w:pPr>
            <w:r>
              <w:rPr>
                <w:rFonts w:ascii="宋体" w:hAnsi="宋体" w:eastAsia="宋体" w:cs="宋体"/>
                <w:spacing w:val="4"/>
                <w:sz w:val="20"/>
                <w:szCs w:val="20"/>
              </w:rPr>
              <w:t>专科及以上学历</w:t>
            </w:r>
          </w:p>
        </w:tc>
        <w:tc>
          <w:tcPr>
            <w:tcW w:w="1566" w:type="dxa"/>
            <w:vAlign w:val="center"/>
          </w:tcPr>
          <w:p w14:paraId="5FA13854">
            <w:pPr>
              <w:spacing w:before="65" w:line="228" w:lineRule="auto"/>
              <w:ind w:left="129"/>
              <w:rPr>
                <w:rFonts w:ascii="宋体" w:hAnsi="宋体" w:eastAsia="宋体" w:cs="宋体"/>
                <w:sz w:val="20"/>
                <w:szCs w:val="20"/>
              </w:rPr>
            </w:pPr>
            <w:r>
              <w:rPr>
                <w:rFonts w:ascii="宋体" w:hAnsi="宋体" w:eastAsia="宋体" w:cs="宋体"/>
                <w:spacing w:val="10"/>
                <w:sz w:val="20"/>
                <w:szCs w:val="20"/>
              </w:rPr>
              <w:t>2025年8月</w:t>
            </w:r>
          </w:p>
        </w:tc>
      </w:tr>
    </w:tbl>
    <w:p w14:paraId="0E180F79">
      <w:pPr>
        <w:pStyle w:val="29"/>
        <w:bidi w:val="0"/>
        <w:rPr>
          <w:rFonts w:hint="default"/>
          <w:lang w:val="en-US" w:eastAsia="zh-CN"/>
        </w:rPr>
      </w:pPr>
      <w:bookmarkStart w:id="11" w:name="bookmark3"/>
      <w:bookmarkEnd w:id="11"/>
      <w:bookmarkStart w:id="12" w:name="_Toc17424"/>
    </w:p>
    <w:p w14:paraId="762FC00F">
      <w:pPr>
        <w:pStyle w:val="29"/>
        <w:bidi w:val="0"/>
        <w:jc w:val="cente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w:t>
      </w:r>
      <w:r>
        <w:t>2025年运维相关人员</w:t>
      </w:r>
      <w:r>
        <w:rPr>
          <w:rFonts w:hint="eastAsia"/>
          <w:lang w:val="en-US" w:eastAsia="zh-CN"/>
        </w:rPr>
        <w:t>储备</w:t>
      </w:r>
      <w:r>
        <w:t>计划</w:t>
      </w:r>
    </w:p>
    <w:tbl>
      <w:tblPr>
        <w:tblStyle w:val="26"/>
        <w:tblW w:w="9347" w:type="dxa"/>
        <w:tblInd w:w="5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902"/>
        <w:gridCol w:w="1604"/>
        <w:gridCol w:w="1401"/>
        <w:gridCol w:w="1787"/>
        <w:gridCol w:w="1662"/>
        <w:gridCol w:w="1274"/>
        <w:gridCol w:w="717"/>
      </w:tblGrid>
      <w:tr w14:paraId="37988C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476" w:hRule="atLeast"/>
        </w:trPr>
        <w:tc>
          <w:tcPr>
            <w:tcW w:w="902" w:type="dxa"/>
            <w:vAlign w:val="center"/>
          </w:tcPr>
          <w:p w14:paraId="4D598E21">
            <w:pPr>
              <w:jc w:val="center"/>
              <w:rPr>
                <w:rFonts w:hint="eastAsia" w:ascii="宋体" w:hAnsi="宋体" w:eastAsia="宋体" w:cs="宋体"/>
                <w:b/>
                <w:bCs/>
                <w:sz w:val="18"/>
                <w:szCs w:val="18"/>
              </w:rPr>
            </w:pPr>
            <w:r>
              <w:rPr>
                <w:rFonts w:hint="eastAsia" w:ascii="宋体" w:hAnsi="宋体" w:eastAsia="宋体" w:cs="宋体"/>
                <w:b/>
                <w:bCs/>
                <w:sz w:val="18"/>
                <w:szCs w:val="18"/>
              </w:rPr>
              <w:t>岗位</w:t>
            </w:r>
          </w:p>
        </w:tc>
        <w:tc>
          <w:tcPr>
            <w:tcW w:w="1604" w:type="dxa"/>
            <w:vAlign w:val="center"/>
          </w:tcPr>
          <w:p w14:paraId="26F01732">
            <w:pPr>
              <w:jc w:val="center"/>
              <w:rPr>
                <w:rFonts w:hint="eastAsia" w:ascii="宋体" w:hAnsi="宋体" w:eastAsia="宋体" w:cs="宋体"/>
                <w:b/>
                <w:bCs/>
                <w:sz w:val="18"/>
                <w:szCs w:val="18"/>
              </w:rPr>
            </w:pPr>
            <w:r>
              <w:rPr>
                <w:rFonts w:hint="eastAsia" w:ascii="宋体" w:hAnsi="宋体" w:eastAsia="宋体" w:cs="宋体"/>
                <w:b/>
                <w:bCs/>
                <w:sz w:val="18"/>
                <w:szCs w:val="18"/>
              </w:rPr>
              <w:t>来源及条件</w:t>
            </w:r>
          </w:p>
        </w:tc>
        <w:tc>
          <w:tcPr>
            <w:tcW w:w="1401" w:type="dxa"/>
            <w:vAlign w:val="center"/>
          </w:tcPr>
          <w:p w14:paraId="22E8BE7A">
            <w:pPr>
              <w:jc w:val="center"/>
              <w:rPr>
                <w:rFonts w:hint="eastAsia" w:ascii="宋体" w:hAnsi="宋体" w:eastAsia="宋体" w:cs="宋体"/>
                <w:b/>
                <w:bCs/>
                <w:sz w:val="18"/>
                <w:szCs w:val="18"/>
              </w:rPr>
            </w:pPr>
            <w:r>
              <w:rPr>
                <w:rFonts w:hint="eastAsia" w:ascii="宋体" w:hAnsi="宋体" w:eastAsia="宋体" w:cs="宋体"/>
                <w:b/>
                <w:bCs/>
                <w:sz w:val="18"/>
                <w:szCs w:val="18"/>
              </w:rPr>
              <w:t>方式及数量</w:t>
            </w:r>
          </w:p>
        </w:tc>
        <w:tc>
          <w:tcPr>
            <w:tcW w:w="1787" w:type="dxa"/>
            <w:vAlign w:val="center"/>
          </w:tcPr>
          <w:p w14:paraId="4C11049C">
            <w:pPr>
              <w:jc w:val="center"/>
              <w:rPr>
                <w:rFonts w:hint="eastAsia" w:ascii="宋体" w:hAnsi="宋体" w:eastAsia="宋体" w:cs="宋体"/>
                <w:b/>
                <w:bCs/>
                <w:sz w:val="18"/>
                <w:szCs w:val="18"/>
              </w:rPr>
            </w:pPr>
            <w:r>
              <w:rPr>
                <w:rFonts w:hint="eastAsia" w:ascii="宋体" w:hAnsi="宋体" w:eastAsia="宋体" w:cs="宋体"/>
                <w:b/>
                <w:bCs/>
                <w:sz w:val="18"/>
                <w:szCs w:val="18"/>
              </w:rPr>
              <w:t>储备措施</w:t>
            </w:r>
          </w:p>
        </w:tc>
        <w:tc>
          <w:tcPr>
            <w:tcW w:w="1662" w:type="dxa"/>
            <w:vAlign w:val="center"/>
          </w:tcPr>
          <w:p w14:paraId="4E3CDD8D">
            <w:pPr>
              <w:jc w:val="center"/>
              <w:rPr>
                <w:rFonts w:hint="eastAsia" w:ascii="宋体" w:hAnsi="宋体" w:eastAsia="宋体" w:cs="宋体"/>
                <w:b/>
                <w:bCs/>
                <w:sz w:val="18"/>
                <w:szCs w:val="18"/>
              </w:rPr>
            </w:pPr>
            <w:r>
              <w:rPr>
                <w:rFonts w:hint="eastAsia" w:ascii="宋体" w:hAnsi="宋体" w:eastAsia="宋体" w:cs="宋体"/>
                <w:b/>
                <w:bCs/>
                <w:sz w:val="18"/>
                <w:szCs w:val="18"/>
              </w:rPr>
              <w:t>建立日期</w:t>
            </w:r>
          </w:p>
        </w:tc>
        <w:tc>
          <w:tcPr>
            <w:tcW w:w="1274" w:type="dxa"/>
            <w:vAlign w:val="center"/>
          </w:tcPr>
          <w:p w14:paraId="5810A049">
            <w:pPr>
              <w:jc w:val="center"/>
              <w:rPr>
                <w:rFonts w:hint="eastAsia" w:ascii="宋体" w:hAnsi="宋体" w:eastAsia="宋体" w:cs="宋体"/>
                <w:b/>
                <w:bCs/>
                <w:sz w:val="18"/>
                <w:szCs w:val="18"/>
              </w:rPr>
            </w:pPr>
            <w:r>
              <w:rPr>
                <w:rFonts w:hint="eastAsia" w:ascii="宋体" w:hAnsi="宋体" w:eastAsia="宋体" w:cs="宋体"/>
                <w:b/>
                <w:bCs/>
                <w:sz w:val="18"/>
                <w:szCs w:val="18"/>
              </w:rPr>
              <w:t>完成日期</w:t>
            </w:r>
          </w:p>
        </w:tc>
        <w:tc>
          <w:tcPr>
            <w:tcW w:w="717" w:type="dxa"/>
            <w:vAlign w:val="center"/>
          </w:tcPr>
          <w:p w14:paraId="63EC8E92">
            <w:pPr>
              <w:jc w:val="center"/>
              <w:rPr>
                <w:rFonts w:hint="eastAsia" w:ascii="宋体" w:hAnsi="宋体" w:eastAsia="宋体" w:cs="宋体"/>
                <w:b/>
                <w:bCs/>
                <w:sz w:val="18"/>
                <w:szCs w:val="18"/>
              </w:rPr>
            </w:pPr>
            <w:r>
              <w:rPr>
                <w:rFonts w:hint="eastAsia" w:ascii="宋体" w:hAnsi="宋体" w:eastAsia="宋体" w:cs="宋体"/>
                <w:b/>
                <w:bCs/>
                <w:sz w:val="18"/>
                <w:szCs w:val="18"/>
              </w:rPr>
              <w:t>备注</w:t>
            </w:r>
          </w:p>
        </w:tc>
      </w:tr>
      <w:tr w14:paraId="43EF7C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902" w:type="dxa"/>
            <w:shd w:val="clear" w:color="auto" w:fill="auto"/>
          </w:tcPr>
          <w:p w14:paraId="256F56D5">
            <w:pPr>
              <w:rPr>
                <w:rFonts w:hint="eastAsia" w:ascii="宋体" w:hAnsi="宋体" w:eastAsia="宋体" w:cs="宋体"/>
                <w:sz w:val="18"/>
                <w:szCs w:val="18"/>
                <w:lang w:val="en-US" w:eastAsia="en-US"/>
              </w:rPr>
            </w:pPr>
            <w:r>
              <w:rPr>
                <w:rFonts w:hint="eastAsia" w:ascii="宋体" w:hAnsi="宋体" w:eastAsia="宋体" w:cs="宋体"/>
                <w:sz w:val="18"/>
                <w:szCs w:val="18"/>
              </w:rPr>
              <w:t>运维项目经理</w:t>
            </w:r>
          </w:p>
        </w:tc>
        <w:tc>
          <w:tcPr>
            <w:tcW w:w="1604" w:type="dxa"/>
            <w:shd w:val="clear" w:color="auto" w:fill="auto"/>
          </w:tcPr>
          <w:p w14:paraId="425FB134">
            <w:pPr>
              <w:rPr>
                <w:rFonts w:hint="eastAsia" w:ascii="宋体" w:hAnsi="宋体" w:eastAsia="宋体" w:cs="宋体"/>
                <w:sz w:val="18"/>
                <w:szCs w:val="18"/>
              </w:rPr>
            </w:pPr>
            <w:r>
              <w:rPr>
                <w:rFonts w:hint="eastAsia" w:ascii="宋体" w:hAnsi="宋体" w:eastAsia="宋体" w:cs="宋体"/>
                <w:sz w:val="18"/>
                <w:szCs w:val="18"/>
              </w:rPr>
              <w:t>2年以上运维经验</w:t>
            </w:r>
          </w:p>
          <w:p w14:paraId="444B38ED">
            <w:pPr>
              <w:rPr>
                <w:rFonts w:hint="eastAsia" w:ascii="宋体" w:hAnsi="宋体" w:eastAsia="宋体" w:cs="宋体"/>
                <w:sz w:val="18"/>
                <w:szCs w:val="18"/>
                <w:lang w:val="en-US" w:eastAsia="en-US"/>
              </w:rPr>
            </w:pPr>
            <w:r>
              <w:rPr>
                <w:rFonts w:hint="eastAsia" w:ascii="宋体" w:hAnsi="宋体" w:eastAsia="宋体" w:cs="宋体"/>
                <w:sz w:val="18"/>
                <w:szCs w:val="18"/>
              </w:rPr>
              <w:t>一线运维工程师</w:t>
            </w:r>
          </w:p>
        </w:tc>
        <w:tc>
          <w:tcPr>
            <w:tcW w:w="1401" w:type="dxa"/>
            <w:shd w:val="clear" w:color="auto" w:fill="auto"/>
          </w:tcPr>
          <w:p w14:paraId="791F2EBE">
            <w:pPr>
              <w:rPr>
                <w:rFonts w:hint="eastAsia" w:ascii="宋体" w:hAnsi="宋体" w:eastAsia="宋体" w:cs="宋体"/>
                <w:sz w:val="18"/>
                <w:szCs w:val="18"/>
                <w:lang w:val="en-US" w:eastAsia="en-US"/>
              </w:rPr>
            </w:pPr>
            <w:r>
              <w:rPr>
                <w:rFonts w:hint="eastAsia" w:ascii="宋体" w:hAnsi="宋体" w:eastAsia="宋体" w:cs="宋体"/>
                <w:sz w:val="18"/>
                <w:szCs w:val="18"/>
              </w:rPr>
              <w:t>内部遴选2人</w:t>
            </w:r>
          </w:p>
        </w:tc>
        <w:tc>
          <w:tcPr>
            <w:tcW w:w="1787" w:type="dxa"/>
            <w:shd w:val="clear" w:color="auto" w:fill="auto"/>
          </w:tcPr>
          <w:p w14:paraId="39907D8D">
            <w:pPr>
              <w:rPr>
                <w:rFonts w:hint="eastAsia" w:ascii="宋体" w:hAnsi="宋体" w:eastAsia="宋体" w:cs="宋体"/>
                <w:sz w:val="18"/>
                <w:szCs w:val="18"/>
                <w:lang w:val="en-US" w:eastAsia="en-US"/>
              </w:rPr>
            </w:pPr>
            <w:r>
              <w:rPr>
                <w:rFonts w:hint="eastAsia" w:ascii="宋体" w:hAnsi="宋体" w:eastAsia="宋体" w:cs="宋体"/>
                <w:sz w:val="18"/>
                <w:szCs w:val="18"/>
              </w:rPr>
              <w:t>内部储备</w:t>
            </w:r>
            <w:r>
              <w:rPr>
                <w:rFonts w:hint="eastAsia" w:ascii="宋体" w:hAnsi="宋体" w:eastAsia="宋体" w:cs="宋体"/>
                <w:sz w:val="18"/>
                <w:szCs w:val="18"/>
                <w:lang w:eastAsia="zh-CN"/>
              </w:rPr>
              <w:t>：</w:t>
            </w:r>
            <w:r>
              <w:rPr>
                <w:rFonts w:hint="eastAsia" w:ascii="宋体" w:hAnsi="宋体" w:eastAsia="宋体" w:cs="宋体"/>
                <w:sz w:val="18"/>
                <w:szCs w:val="18"/>
              </w:rPr>
              <w:t>从现有运维工程师选拔</w:t>
            </w:r>
          </w:p>
        </w:tc>
        <w:tc>
          <w:tcPr>
            <w:tcW w:w="1662" w:type="dxa"/>
            <w:shd w:val="clear" w:color="auto" w:fill="auto"/>
          </w:tcPr>
          <w:p w14:paraId="5D8C60FD">
            <w:pPr>
              <w:rPr>
                <w:rFonts w:hint="eastAsia" w:ascii="宋体" w:hAnsi="宋体" w:eastAsia="宋体" w:cs="宋体"/>
                <w:sz w:val="18"/>
                <w:szCs w:val="18"/>
                <w:lang w:val="en-US" w:eastAsia="en-US"/>
              </w:rPr>
            </w:pPr>
            <w:r>
              <w:rPr>
                <w:rFonts w:hint="eastAsia" w:ascii="宋体" w:hAnsi="宋体" w:eastAsia="宋体" w:cs="宋体"/>
                <w:sz w:val="18"/>
                <w:szCs w:val="18"/>
              </w:rPr>
              <w:t>2025年3月底前确定储备对象</w:t>
            </w:r>
          </w:p>
        </w:tc>
        <w:tc>
          <w:tcPr>
            <w:tcW w:w="1274" w:type="dxa"/>
            <w:shd w:val="clear" w:color="auto" w:fill="auto"/>
          </w:tcPr>
          <w:p w14:paraId="7D0761FD">
            <w:pPr>
              <w:rPr>
                <w:rFonts w:hint="eastAsia" w:ascii="宋体" w:hAnsi="宋体" w:eastAsia="宋体" w:cs="宋体"/>
                <w:sz w:val="18"/>
                <w:szCs w:val="18"/>
                <w:lang w:val="en-US" w:eastAsia="en-US"/>
              </w:rPr>
            </w:pPr>
            <w:r>
              <w:rPr>
                <w:rFonts w:hint="eastAsia" w:ascii="宋体" w:hAnsi="宋体" w:eastAsia="宋体" w:cs="宋体"/>
                <w:sz w:val="18"/>
                <w:szCs w:val="18"/>
              </w:rPr>
              <w:t>2025年6月底前到岗任职</w:t>
            </w:r>
          </w:p>
        </w:tc>
        <w:tc>
          <w:tcPr>
            <w:tcW w:w="717" w:type="dxa"/>
          </w:tcPr>
          <w:p w14:paraId="1A377D24">
            <w:pPr>
              <w:rPr>
                <w:rFonts w:hint="eastAsia" w:ascii="宋体" w:hAnsi="宋体" w:eastAsia="宋体" w:cs="宋体"/>
                <w:sz w:val="18"/>
                <w:szCs w:val="18"/>
              </w:rPr>
            </w:pPr>
          </w:p>
        </w:tc>
      </w:tr>
    </w:tbl>
    <w:p w14:paraId="5E7C68BB">
      <w:pPr>
        <w:pStyle w:val="29"/>
        <w:bidi w:val="0"/>
        <w:jc w:val="center"/>
      </w:pPr>
    </w:p>
    <w:p w14:paraId="36290FA8">
      <w:pPr>
        <w:rPr>
          <w:rFonts w:hint="default"/>
          <w:lang w:val="en-US" w:eastAsia="zh-CN"/>
        </w:rPr>
      </w:pPr>
      <w:r>
        <w:rPr>
          <w:rFonts w:hint="default"/>
          <w:lang w:val="en-US" w:eastAsia="zh-CN"/>
        </w:rPr>
        <w:br w:type="page"/>
      </w:r>
    </w:p>
    <w:p w14:paraId="0BD23003">
      <w:pPr>
        <w:pStyle w:val="31"/>
        <w:bidi w:val="0"/>
        <w:rPr>
          <w:rFonts w:hint="default"/>
          <w:lang w:val="en-US" w:eastAsia="zh-CN"/>
        </w:rPr>
      </w:pPr>
      <w:bookmarkStart w:id="13" w:name="_Toc26642"/>
      <w:r>
        <w:rPr>
          <w:rFonts w:hint="default"/>
          <w:lang w:val="en-US" w:eastAsia="zh-CN"/>
        </w:rPr>
        <w:t>年度招聘和储备计划</w:t>
      </w:r>
      <w:bookmarkEnd w:id="13"/>
    </w:p>
    <w:p w14:paraId="16BA1BB4">
      <w:pPr>
        <w:pStyle w:val="29"/>
        <w:bidi w:val="0"/>
        <w:rPr>
          <w:rFonts w:hint="default"/>
          <w:lang w:val="en-US" w:eastAsia="zh-CN"/>
        </w:rPr>
      </w:pPr>
      <w:r>
        <w:rPr>
          <w:rFonts w:hint="default"/>
          <w:lang w:val="en-US" w:eastAsia="zh-CN"/>
        </w:rPr>
        <w:t>根据2025年度工作重点估算人力需求，并对现有人员的分析，进一步完成年度招聘和储备计划。人员招聘计划预计2人，特别是软件运维工程师</w:t>
      </w:r>
      <w:r>
        <w:rPr>
          <w:rFonts w:hint="eastAsia"/>
          <w:lang w:val="en-US" w:eastAsia="zh-CN"/>
        </w:rPr>
        <w:t>、研发工程师各1人</w:t>
      </w:r>
      <w:r>
        <w:rPr>
          <w:rFonts w:hint="default"/>
          <w:lang w:val="en-US" w:eastAsia="zh-CN"/>
        </w:rPr>
        <w:t>。计划储备运维</w:t>
      </w:r>
      <w:r>
        <w:rPr>
          <w:rFonts w:hint="eastAsia"/>
          <w:lang w:val="en-US" w:eastAsia="zh-CN"/>
        </w:rPr>
        <w:t>项目经理</w:t>
      </w:r>
      <w:r>
        <w:rPr>
          <w:rFonts w:hint="default"/>
          <w:lang w:val="en-US" w:eastAsia="zh-CN"/>
        </w:rPr>
        <w:t>2人。内部储备，从现有运维工程师选拔。要求人员储备完成</w:t>
      </w:r>
      <w:r>
        <w:rPr>
          <w:rFonts w:hint="eastAsia"/>
          <w:lang w:val="en-US" w:eastAsia="zh-CN"/>
        </w:rPr>
        <w:t>率</w:t>
      </w:r>
      <w:r>
        <w:rPr>
          <w:rFonts w:hint="default"/>
          <w:lang w:val="en-US" w:eastAsia="zh-CN"/>
        </w:rPr>
        <w:t>≥90%</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率按实际年度储备人数/年初运维人员总数</w:t>
      </w:r>
      <w:r>
        <w:rPr>
          <w:rFonts w:hint="eastAsia"/>
          <w:lang w:val="en-US" w:eastAsia="zh-CN"/>
        </w:rPr>
        <w:t>*100%</w:t>
      </w:r>
      <w:r>
        <w:rPr>
          <w:rFonts w:hint="default"/>
          <w:lang w:val="en-US" w:eastAsia="zh-CN"/>
        </w:rPr>
        <w:t>计算，</w:t>
      </w:r>
      <w:r>
        <w:rPr>
          <w:rFonts w:hint="eastAsia"/>
          <w:lang w:val="en-US" w:eastAsia="zh-CN"/>
        </w:rPr>
        <w:t>招聘到岗率</w:t>
      </w:r>
      <w:r>
        <w:rPr>
          <w:rFonts w:hint="default"/>
          <w:lang w:val="en-US" w:eastAsia="zh-CN"/>
        </w:rPr>
        <w:t>≥90%</w:t>
      </w:r>
      <w:r>
        <w:rPr>
          <w:rFonts w:hint="eastAsia"/>
          <w:lang w:val="en-US" w:eastAsia="zh-CN"/>
        </w:rPr>
        <w:t>，具体到岗率按年度招聘运维人员及时到岗总人数/年度招聘运维总人数*100%计算</w:t>
      </w:r>
      <w:r>
        <w:rPr>
          <w:rFonts w:hint="default"/>
          <w:lang w:val="en-US" w:eastAsia="zh-CN"/>
        </w:rPr>
        <w:t>，每年度考核一次。</w:t>
      </w:r>
    </w:p>
    <w:p w14:paraId="07E8EF2E">
      <w:pPr>
        <w:pStyle w:val="31"/>
        <w:bidi w:val="0"/>
      </w:pPr>
      <w:bookmarkStart w:id="14" w:name="_Toc23214"/>
      <w:r>
        <w:t>人员培训及能力提升</w:t>
      </w:r>
      <w:bookmarkEnd w:id="14"/>
    </w:p>
    <w:p w14:paraId="56B84780">
      <w:pPr>
        <w:pStyle w:val="29"/>
        <w:bidi w:val="0"/>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37120774">
      <w:pPr>
        <w:pStyle w:val="29"/>
        <w:bidi w:val="0"/>
      </w:pPr>
      <w:r>
        <w:t>2025年培训投入预算</w:t>
      </w:r>
      <w:r>
        <w:rPr>
          <w:rFonts w:hint="eastAsia"/>
          <w:lang w:val="en-US" w:eastAsia="zh-CN"/>
        </w:rPr>
        <w:t>10</w:t>
      </w:r>
      <w:r>
        <w:t>万元。</w:t>
      </w:r>
    </w:p>
    <w:p w14:paraId="612F42CE">
      <w:pPr>
        <w:pStyle w:val="29"/>
        <w:bidi w:val="0"/>
        <w:rPr>
          <w:rFonts w:hint="default" w:eastAsia="宋体"/>
          <w:lang w:val="en-US" w:eastAsia="zh-CN"/>
        </w:rPr>
      </w:pPr>
      <w:r>
        <w:t>公司</w:t>
      </w:r>
      <w:r>
        <w:rPr>
          <w:rFonts w:hint="eastAsia"/>
          <w:lang w:eastAsia="zh-CN"/>
        </w:rPr>
        <w:t>综合办公室</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，具体完成率按</w:t>
      </w:r>
      <w:r>
        <w:rPr>
          <w:rFonts w:hint="eastAsia"/>
        </w:rPr>
        <w:t>累计培训课程数/计划培训课数*100%</w:t>
      </w:r>
      <w:r>
        <w:rPr>
          <w:rFonts w:hint="eastAsia"/>
          <w:lang w:val="en-US" w:eastAsia="zh-CN"/>
        </w:rPr>
        <w:t>计算，每月考核一次。</w:t>
      </w:r>
    </w:p>
    <w:p w14:paraId="45328902">
      <w:pPr>
        <w:spacing w:line="25" w:lineRule="auto"/>
        <w:rPr>
          <w:rFonts w:ascii="Arial"/>
          <w:sz w:val="2"/>
        </w:rPr>
      </w:pPr>
    </w:p>
    <w:tbl>
      <w:tblPr>
        <w:tblStyle w:val="20"/>
        <w:tblW w:w="655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61"/>
        <w:gridCol w:w="2100"/>
        <w:gridCol w:w="1850"/>
        <w:gridCol w:w="750"/>
        <w:gridCol w:w="1189"/>
      </w:tblGrid>
      <w:tr w14:paraId="41C02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F71220">
            <w:pPr>
              <w:keepNext w:val="0"/>
              <w:keepLines w:val="0"/>
              <w:widowControl/>
              <w:suppressLineNumbers w:val="0"/>
              <w:jc w:val="center"/>
              <w:textAlignment w:val="center"/>
              <w:rPr>
                <w:rFonts w:hint="default" w:ascii="宋体" w:hAnsi="宋体" w:eastAsia="宋体" w:cs="宋体"/>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2"/>
                <w:szCs w:val="22"/>
                <w:u w:val="none"/>
                <w:lang w:val="en-US" w:eastAsia="zh-CN"/>
              </w:rPr>
              <w:t>编号</w:t>
            </w:r>
          </w:p>
        </w:tc>
        <w:tc>
          <w:tcPr>
            <w:tcW w:w="210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E5FFE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snapToGrid w:val="0"/>
                <w:color w:val="000000"/>
                <w:kern w:val="0"/>
                <w:sz w:val="22"/>
                <w:szCs w:val="22"/>
                <w:u w:val="none"/>
                <w:lang w:val="en-US" w:eastAsia="zh-CN"/>
              </w:rPr>
              <w:t>培训内容</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6B73E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snapToGrid w:val="0"/>
                <w:color w:val="000000"/>
                <w:kern w:val="0"/>
                <w:sz w:val="22"/>
                <w:szCs w:val="22"/>
                <w:u w:val="none"/>
                <w:lang w:val="en-US" w:eastAsia="zh-CN"/>
              </w:rPr>
              <w:t>培训对象</w:t>
            </w:r>
          </w:p>
        </w:tc>
        <w:tc>
          <w:tcPr>
            <w:tcW w:w="7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A336B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snapToGrid w:val="0"/>
                <w:color w:val="000000"/>
                <w:kern w:val="0"/>
                <w:sz w:val="22"/>
                <w:szCs w:val="22"/>
                <w:u w:val="none"/>
                <w:lang w:val="en-US" w:eastAsia="zh-CN"/>
              </w:rPr>
              <w:t>培训人员</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5ECC0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snapToGrid w:val="0"/>
                <w:color w:val="000000"/>
                <w:kern w:val="0"/>
                <w:sz w:val="22"/>
                <w:szCs w:val="22"/>
                <w:u w:val="none"/>
                <w:lang w:val="en-US" w:eastAsia="zh-CN"/>
              </w:rPr>
              <w:t>时间</w:t>
            </w:r>
          </w:p>
        </w:tc>
      </w:tr>
      <w:tr w14:paraId="2F0DE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502092">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EE5D7A">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ITSS</w:t>
            </w:r>
            <w:r>
              <w:rPr>
                <w:rStyle w:val="42"/>
                <w:snapToGrid w:val="0"/>
                <w:color w:val="000000"/>
                <w:lang w:val="en-US" w:eastAsia="zh-CN"/>
              </w:rPr>
              <w:t>标准培训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3AFF86">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4B4553">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E35F04">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64215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49C416">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5EB232">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FF7D13">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平台运维组全员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C81AD">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3DE0593">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6C662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0034DE">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36A409">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696A89">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6D3D4D">
            <w:pPr>
              <w:keepNext w:val="0"/>
              <w:keepLines w:val="0"/>
              <w:widowControl/>
              <w:suppressLineNumbers w:val="0"/>
              <w:jc w:val="both"/>
              <w:textAlignment w:val="center"/>
              <w:rPr>
                <w:rFonts w:hint="default" w:ascii="宋体" w:hAnsi="宋体" w:eastAsia="宋体" w:cs="宋体"/>
                <w:i w:val="0"/>
                <w:iCs w:val="0"/>
                <w:color w:val="000000"/>
                <w:sz w:val="16"/>
                <w:szCs w:val="16"/>
                <w:u w:val="none"/>
                <w:lang w:val="en-US"/>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FF3763">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5A2AA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7B39DF">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07DF03">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E9B441">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414808">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9D3E46">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6CE5C2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CFCD56">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1B293E">
            <w:pPr>
              <w:keepNext w:val="0"/>
              <w:keepLines w:val="0"/>
              <w:widowControl/>
              <w:suppressLineNumbers w:val="0"/>
              <w:tabs>
                <w:tab w:val="center" w:pos="1320"/>
              </w:tabs>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E5B06F">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平台运维组、研发组</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758A9D">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47683E">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3月</w:t>
            </w:r>
          </w:p>
        </w:tc>
      </w:tr>
      <w:tr w14:paraId="7D8D7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5E1776">
            <w:pPr>
              <w:keepNext w:val="0"/>
              <w:keepLines w:val="0"/>
              <w:widowControl/>
              <w:numPr>
                <w:ilvl w:val="0"/>
                <w:numId w:val="4"/>
              </w:numPr>
              <w:suppressLineNumbers w:val="0"/>
              <w:tabs>
                <w:tab w:val="center" w:pos="1320"/>
              </w:tabs>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4BD1D3">
            <w:pPr>
              <w:keepNext w:val="0"/>
              <w:keepLines w:val="0"/>
              <w:widowControl/>
              <w:suppressLineNumbers w:val="0"/>
              <w:tabs>
                <w:tab w:val="center" w:pos="1320"/>
              </w:tabs>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运维服务服务知识</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157236">
            <w:pPr>
              <w:keepNext w:val="0"/>
              <w:keepLines w:val="0"/>
              <w:widowControl/>
              <w:suppressLineNumbers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全体运维人员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258087">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368563">
            <w:pPr>
              <w:keepNext w:val="0"/>
              <w:keepLines w:val="0"/>
              <w:widowControl/>
              <w:suppressLineNumbers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3月</w:t>
            </w:r>
          </w:p>
        </w:tc>
      </w:tr>
      <w:tr w14:paraId="1D497A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594678">
            <w:pPr>
              <w:keepNext w:val="0"/>
              <w:keepLines w:val="0"/>
              <w:widowControl/>
              <w:numPr>
                <w:ilvl w:val="0"/>
                <w:numId w:val="4"/>
              </w:numPr>
              <w:suppressLineNumbers w:val="0"/>
              <w:tabs>
                <w:tab w:val="center" w:pos="1320"/>
              </w:tabs>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A97B84">
            <w:pPr>
              <w:keepNext w:val="0"/>
              <w:keepLines w:val="0"/>
              <w:widowControl/>
              <w:suppressLineNumbers w:val="0"/>
              <w:tabs>
                <w:tab w:val="center" w:pos="1320"/>
              </w:tabs>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C94EC4">
            <w:pPr>
              <w:keepNext w:val="0"/>
              <w:keepLines w:val="0"/>
              <w:widowControl/>
              <w:suppressLineNumbers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2BF673">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62ECD3">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r>
      <w:tr w14:paraId="7D8D92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BEAC6E">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AEEB47">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BE0D09">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E6E3F2">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陈云</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4DC8FF">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6A062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58A95F">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08B558">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2"/>
                <w:snapToGrid w:val="0"/>
                <w:color w:val="000000"/>
                <w:lang w:val="en-US" w:eastAsia="zh-CN"/>
              </w:rPr>
              <w:t>介绍</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B4BE4B">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7AF77E">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陈云</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4E6B52">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15DB4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474BCD">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D86464">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2"/>
                <w:snapToGrid w:val="0"/>
                <w:color w:val="000000"/>
                <w:lang w:val="en-US" w:eastAsia="zh-CN"/>
              </w:rPr>
              <w:t>及应对策略</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1A138A">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2"/>
                <w:snapToGrid w:val="0"/>
                <w:color w:val="000000"/>
                <w:lang w:val="en-US" w:eastAsia="zh-CN"/>
              </w:rPr>
              <w:t>测工程师</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7F7685">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094205">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2A6F1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6FD587">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3ACEE3">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142D19">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D16738">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93D8BE">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6A023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1E0B48">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A86BC2">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2"/>
                <w:snapToGrid w:val="0"/>
                <w:color w:val="000000"/>
                <w:lang w:val="en-US" w:eastAsia="zh-CN"/>
              </w:rPr>
              <w:t>预案培训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323479">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E14F1">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薛成攀</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9D9B07">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32886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14165C">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F65DFE">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42"/>
                <w:snapToGrid w:val="0"/>
                <w:color w:val="000000"/>
                <w:lang w:val="en-US" w:eastAsia="zh-CN"/>
              </w:rPr>
              <w:t>标准培训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345A09">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282A0E">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411A08">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639C8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A989CA">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2C4772">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Antd</w:t>
            </w:r>
            <w:r>
              <w:rPr>
                <w:rStyle w:val="42"/>
                <w:snapToGrid w:val="0"/>
                <w:color w:val="000000"/>
                <w:lang w:val="en-US" w:eastAsia="zh-CN"/>
              </w:rPr>
              <w:t>前端框架介绍</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0084E9">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E8A4DD">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F1EB13">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5月</w:t>
            </w:r>
          </w:p>
        </w:tc>
      </w:tr>
      <w:tr w14:paraId="43296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77A8EF">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25E652">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292E2B">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F691C1">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4E33F0">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3AF0B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D4BB91">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4F6CFD">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55502F">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7FCD62">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34E00A">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5BDE7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665935">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92EF7B">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B131DD">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平台运维组、研发组</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E5F07A">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95F1EA">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0E030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C7FEA5">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93CFCF">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42"/>
                <w:snapToGrid w:val="0"/>
                <w:color w:val="000000"/>
                <w:lang w:val="en-US" w:eastAsia="zh-CN"/>
              </w:rPr>
              <w:t>服务项目经理</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08BD0E">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9E9168">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AE5C1E">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07AE7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9E1E2E">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12E584">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3719A1">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平台运维组全员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D51470">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CB9EBD">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1604DE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4C2879">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0364EA">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78C212">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平台运维组全员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04B0E2">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E4F2C9">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7月</w:t>
            </w:r>
          </w:p>
        </w:tc>
      </w:tr>
      <w:tr w14:paraId="45FEAD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2E8F53">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E2FF33">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1A4879">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2"/>
                <w:snapToGrid w:val="0"/>
                <w:color w:val="000000"/>
                <w:lang w:val="en-US" w:eastAsia="zh-CN"/>
              </w:rPr>
              <w:t>测工程师</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0D6359">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D1B18B">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5CC64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467813">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5B755D">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EBE1D2">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平台运维组全员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4C41F3">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2515D0">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2607F3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E4D1AE">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12530B">
            <w:pPr>
              <w:keepNext w:val="0"/>
              <w:keepLines w:val="0"/>
              <w:widowControl/>
              <w:suppressLineNumbers w:val="0"/>
              <w:tabs>
                <w:tab w:val="center" w:pos="1320"/>
              </w:tabs>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9EE59A">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FF4C92">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0EA62C">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7月</w:t>
            </w:r>
          </w:p>
        </w:tc>
      </w:tr>
      <w:tr w14:paraId="437BE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8EB06C">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8872B7">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17E074">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C44982">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陈云</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4E7ABA">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8月</w:t>
            </w:r>
          </w:p>
        </w:tc>
      </w:tr>
      <w:tr w14:paraId="59835F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9DC09D">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D16569">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2"/>
                <w:snapToGrid w:val="0"/>
                <w:color w:val="000000"/>
                <w:lang w:val="en-US" w:eastAsia="zh-CN"/>
              </w:rPr>
              <w:t>介绍</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A066DC">
            <w:pPr>
              <w:keepNext w:val="0"/>
              <w:keepLines w:val="0"/>
              <w:widowControl/>
              <w:suppressLineNumbers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592E8A">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陈云</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1E9359">
            <w:pPr>
              <w:keepNext w:val="0"/>
              <w:keepLines w:val="0"/>
              <w:widowControl/>
              <w:suppressLineNumbers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8月</w:t>
            </w:r>
          </w:p>
        </w:tc>
      </w:tr>
      <w:tr w14:paraId="11781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32B566">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54739A">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470114">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9AB08E">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F475C2">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05CF7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D251B7">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6B9555">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F1BA18">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6DC13C">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770883">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4CED77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040926">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859A29">
            <w:pPr>
              <w:keepNext w:val="0"/>
              <w:keepLines w:val="0"/>
              <w:widowControl/>
              <w:suppressLineNumbers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2"/>
                <w:snapToGrid w:val="0"/>
                <w:color w:val="000000"/>
                <w:lang w:val="en-US" w:eastAsia="zh-CN"/>
              </w:rPr>
              <w:t>及应对策略</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E47BBF">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2"/>
                <w:snapToGrid w:val="0"/>
                <w:color w:val="000000"/>
                <w:lang w:val="en-US" w:eastAsia="zh-CN"/>
              </w:rPr>
              <w:t>测工程师</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1F7220">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BEBDA8">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0871E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C81D84">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62E2F1">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AE48BB">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平台运维组、研发组</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9E89AC">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D7056B">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30C37C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BF8D29">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A79555">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2589A6">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D64EB1">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9E6201">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7769E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1E1003">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E088DE">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466FB5">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78ECD1">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574E89">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00DCD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4ADC33">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D457EA">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2"/>
                <w:snapToGrid w:val="0"/>
                <w:color w:val="000000"/>
                <w:lang w:val="en-US" w:eastAsia="zh-CN"/>
              </w:rPr>
              <w:t>预案培训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D0C5D1">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73D74B">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薛成攀</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6096EB">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28A48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9"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4809F0">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CE364E">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Antd</w:t>
            </w:r>
            <w:r>
              <w:rPr>
                <w:rStyle w:val="42"/>
                <w:snapToGrid w:val="0"/>
                <w:color w:val="000000"/>
                <w:lang w:val="en-US" w:eastAsia="zh-CN"/>
              </w:rPr>
              <w:t>前端框架介绍</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AE1FB4">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FECC1A">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07050C">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11月</w:t>
            </w:r>
          </w:p>
        </w:tc>
      </w:tr>
      <w:tr w14:paraId="1118B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C44AE1">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7821C4">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4AA3CB">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1C8190">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10E1D4">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538C3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13AAB8">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4D33B9">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B1C65B">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1BEEA4">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张秀才</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09A13B">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2F1BBA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725FCD">
            <w:pPr>
              <w:keepNext w:val="0"/>
              <w:keepLines w:val="0"/>
              <w:widowControl/>
              <w:numPr>
                <w:ilvl w:val="0"/>
                <w:numId w:val="4"/>
              </w:numPr>
              <w:suppressLineNumbers w:val="0"/>
              <w:ind w:left="425" w:leftChars="0" w:hanging="425" w:firstLineChars="0"/>
              <w:jc w:val="center"/>
              <w:textAlignment w:val="center"/>
              <w:rPr>
                <w:rFonts w:hint="eastAsia" w:ascii="宋体" w:hAnsi="宋体" w:eastAsia="宋体" w:cs="宋体"/>
                <w:i w:val="0"/>
                <w:iCs w:val="0"/>
                <w:snapToGrid w:val="0"/>
                <w:color w:val="000000"/>
                <w:kern w:val="0"/>
                <w:sz w:val="16"/>
                <w:szCs w:val="16"/>
                <w:u w:val="none"/>
                <w:lang w:val="en-US" w:eastAsia="zh-CN"/>
              </w:rPr>
            </w:pPr>
          </w:p>
        </w:tc>
        <w:tc>
          <w:tcPr>
            <w:tcW w:w="21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E2D6D5">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8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F6D778">
            <w:pPr>
              <w:keepNext w:val="0"/>
              <w:keepLines w:val="0"/>
              <w:widowControl/>
              <w:suppressLineNumbers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研发组全员</w:t>
            </w:r>
          </w:p>
        </w:tc>
        <w:tc>
          <w:tcPr>
            <w:tcW w:w="75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8819ED">
            <w:pPr>
              <w:keepNext w:val="0"/>
              <w:keepLines w:val="0"/>
              <w:widowControl/>
              <w:suppressLineNumbers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陈云</w:t>
            </w:r>
          </w:p>
        </w:tc>
        <w:tc>
          <w:tcPr>
            <w:tcW w:w="11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1EF12F">
            <w:pPr>
              <w:keepNext w:val="0"/>
              <w:keepLines w:val="0"/>
              <w:widowControl/>
              <w:suppressLineNumbers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bl>
    <w:p w14:paraId="0932F630">
      <w:pPr>
        <w:pStyle w:val="31"/>
        <w:bidi w:val="0"/>
      </w:pPr>
      <w:bookmarkStart w:id="15" w:name="_Toc31442"/>
      <w:r>
        <w:t>绩效考核</w:t>
      </w:r>
      <w:bookmarkEnd w:id="15"/>
    </w:p>
    <w:p w14:paraId="605DE214">
      <w:pPr>
        <w:pStyle w:val="29"/>
        <w:bidi w:val="0"/>
      </w:pPr>
      <w:r>
        <w:t>每季度在平台运维组会议上公开绩效考核成绩，让员工更加清楚自己的绩效情况，做到公平、公正</w:t>
      </w:r>
      <w:r>
        <w:rPr>
          <w:rFonts w:hint="eastAsia"/>
          <w:lang w:eastAsia="zh-CN"/>
        </w:rPr>
        <w:t>、</w:t>
      </w:r>
      <w:r>
        <w:rPr>
          <w:rFonts w:hint="eastAsia"/>
          <w:lang w:val="en-US" w:eastAsia="zh-CN"/>
        </w:rPr>
        <w:t>公开。</w:t>
      </w:r>
      <w:r>
        <w:t>要求绩效考核合格率≥95%</w:t>
      </w:r>
      <w:r>
        <w:rPr>
          <w:rFonts w:hint="eastAsia"/>
          <w:lang w:eastAsia="zh-CN"/>
        </w:rPr>
        <w:t>，</w:t>
      </w:r>
      <w:r>
        <w:rPr>
          <w:rFonts w:hint="eastAsia"/>
          <w:lang w:val="en-US" w:eastAsia="zh-CN"/>
        </w:rPr>
        <w:t>具体合格率按</w:t>
      </w:r>
      <w:r>
        <w:rPr>
          <w:rFonts w:hint="eastAsia"/>
        </w:rPr>
        <w:t>绩效考核合格人数/参与考核人员总数*100%</w:t>
      </w:r>
      <w:r>
        <w:rPr>
          <w:rFonts w:hint="eastAsia"/>
          <w:lang w:val="en-US" w:eastAsia="zh-CN"/>
        </w:rPr>
        <w:t>计算</w:t>
      </w:r>
      <w:r>
        <w:t>。</w:t>
      </w:r>
    </w:p>
    <w:p w14:paraId="4E4C32CF">
      <w:pPr>
        <w:pStyle w:val="31"/>
        <w:bidi w:val="0"/>
      </w:pPr>
      <w:bookmarkStart w:id="16" w:name="_Toc2734"/>
      <w:r>
        <w:t>能力评价</w:t>
      </w:r>
      <w:bookmarkEnd w:id="16"/>
    </w:p>
    <w:p w14:paraId="2A11E766">
      <w:pPr>
        <w:pStyle w:val="29"/>
        <w:bidi w:val="0"/>
      </w:pPr>
      <w:r>
        <w:t>每季度在平台运维组会议上公开能力评价结果，让员工更加清楚自己的能力情况，做到公平、公正、公开。人员能力合格率≥95%</w:t>
      </w:r>
      <w:r>
        <w:rPr>
          <w:rFonts w:hint="eastAsia"/>
          <w:lang w:eastAsia="zh-CN"/>
        </w:rPr>
        <w:t>，</w:t>
      </w:r>
      <w:r>
        <w:rPr>
          <w:rFonts w:hint="eastAsia"/>
          <w:lang w:val="en-US" w:eastAsia="zh-CN"/>
        </w:rPr>
        <w:t>具体合格率按人员能力</w:t>
      </w:r>
      <w:r>
        <w:rPr>
          <w:rFonts w:hint="eastAsia"/>
        </w:rPr>
        <w:t>合格人数/参与</w:t>
      </w:r>
      <w:r>
        <w:rPr>
          <w:rFonts w:hint="eastAsia"/>
          <w:lang w:val="en-US" w:eastAsia="zh-CN"/>
        </w:rPr>
        <w:t>能力评价</w:t>
      </w:r>
      <w:r>
        <w:rPr>
          <w:rFonts w:hint="eastAsia"/>
        </w:rPr>
        <w:t>人员总数*100%</w:t>
      </w:r>
      <w:r>
        <w:rPr>
          <w:rFonts w:hint="eastAsia"/>
          <w:lang w:val="en-US" w:eastAsia="zh-CN"/>
        </w:rPr>
        <w:t>计算</w:t>
      </w:r>
      <w:r>
        <w:t>。</w:t>
      </w:r>
    </w:p>
    <w:p w14:paraId="49FBA535">
      <w:pPr>
        <w:pStyle w:val="30"/>
        <w:bidi w:val="0"/>
        <w:rPr>
          <w:rFonts w:hint="eastAsia"/>
          <w:lang w:val="en-US" w:eastAsia="zh-CN"/>
        </w:rPr>
      </w:pPr>
      <w:bookmarkStart w:id="17" w:name="_Toc16821"/>
      <w:r>
        <w:rPr>
          <w:rFonts w:hint="eastAsia"/>
          <w:lang w:val="en-US" w:eastAsia="zh-CN"/>
        </w:rPr>
        <w:t>资源</w:t>
      </w:r>
      <w:bookmarkEnd w:id="17"/>
    </w:p>
    <w:p w14:paraId="63E43D0C">
      <w:pPr>
        <w:spacing w:before="207" w:line="219" w:lineRule="auto"/>
        <w:ind w:left="450"/>
        <w:rPr>
          <w:rFonts w:ascii="宋体" w:hAnsi="宋体" w:eastAsia="宋体" w:cs="宋体"/>
          <w:sz w:val="24"/>
          <w:szCs w:val="24"/>
        </w:rPr>
      </w:pPr>
      <w:r>
        <w:rPr>
          <w:rFonts w:ascii="宋体" w:hAnsi="宋体" w:eastAsia="宋体" w:cs="宋体"/>
          <w:spacing w:val="1"/>
          <w:sz w:val="24"/>
          <w:szCs w:val="24"/>
        </w:rPr>
        <w:t>总结202</w:t>
      </w:r>
      <w:r>
        <w:rPr>
          <w:rFonts w:hint="eastAsia" w:ascii="宋体" w:hAnsi="宋体" w:eastAsia="宋体" w:cs="宋体"/>
          <w:spacing w:val="1"/>
          <w:sz w:val="24"/>
          <w:szCs w:val="24"/>
          <w:lang w:val="en-US" w:eastAsia="zh-CN"/>
        </w:rPr>
        <w:t>4</w:t>
      </w:r>
      <w:r>
        <w:rPr>
          <w:rFonts w:ascii="宋体" w:hAnsi="宋体" w:eastAsia="宋体" w:cs="宋体"/>
          <w:spacing w:val="1"/>
          <w:sz w:val="24"/>
          <w:szCs w:val="24"/>
        </w:rPr>
        <w:t>年运维服务工作中资源情况，发现我们还存在不</w:t>
      </w:r>
      <w:r>
        <w:rPr>
          <w:rFonts w:ascii="宋体" w:hAnsi="宋体" w:eastAsia="宋体" w:cs="宋体"/>
          <w:sz w:val="24"/>
          <w:szCs w:val="24"/>
        </w:rPr>
        <w:t>少可以优化的地</w:t>
      </w:r>
    </w:p>
    <w:p w14:paraId="5F3787CC">
      <w:pPr>
        <w:spacing w:before="113" w:line="219" w:lineRule="auto"/>
        <w:ind w:left="24"/>
        <w:rPr>
          <w:rFonts w:hint="eastAsia" w:ascii="宋体" w:hAnsi="宋体" w:eastAsia="宋体" w:cs="宋体"/>
          <w:sz w:val="24"/>
          <w:szCs w:val="24"/>
          <w:lang w:eastAsia="zh-CN"/>
        </w:rPr>
      </w:pPr>
      <w:r>
        <w:rPr>
          <w:rFonts w:ascii="宋体" w:hAnsi="宋体" w:eastAsia="宋体" w:cs="宋体"/>
          <w:sz w:val="24"/>
          <w:szCs w:val="24"/>
        </w:rPr>
        <w:t>方，比如计划运维需要更详细</w:t>
      </w:r>
      <w:r>
        <w:rPr>
          <w:rFonts w:hint="eastAsia" w:ascii="宋体" w:hAnsi="宋体" w:eastAsia="宋体" w:cs="宋体"/>
          <w:sz w:val="24"/>
          <w:szCs w:val="24"/>
          <w:lang w:val="en-US" w:eastAsia="zh-CN"/>
        </w:rPr>
        <w:t>禅道项目管理</w:t>
      </w:r>
      <w:r>
        <w:rPr>
          <w:rFonts w:ascii="宋体" w:hAnsi="宋体" w:eastAsia="宋体" w:cs="宋体"/>
          <w:spacing w:val="-1"/>
          <w:sz w:val="24"/>
          <w:szCs w:val="24"/>
        </w:rPr>
        <w:t>系统需要</w:t>
      </w:r>
      <w:r>
        <w:rPr>
          <w:rFonts w:hint="eastAsia" w:ascii="宋体" w:hAnsi="宋体" w:eastAsia="宋体" w:cs="宋体"/>
          <w:spacing w:val="-1"/>
          <w:sz w:val="24"/>
          <w:szCs w:val="24"/>
          <w:lang w:val="en-US" w:eastAsia="zh-CN"/>
        </w:rPr>
        <w:t>在2025年进行</w:t>
      </w:r>
      <w:r>
        <w:rPr>
          <w:rFonts w:ascii="宋体" w:hAnsi="宋体" w:eastAsia="宋体" w:cs="宋体"/>
          <w:spacing w:val="-1"/>
          <w:sz w:val="24"/>
          <w:szCs w:val="24"/>
        </w:rPr>
        <w:t>开发提升等</w:t>
      </w:r>
      <w:r>
        <w:rPr>
          <w:rFonts w:hint="eastAsia" w:ascii="宋体" w:hAnsi="宋体" w:cs="宋体"/>
          <w:spacing w:val="-1"/>
          <w:sz w:val="24"/>
          <w:szCs w:val="24"/>
          <w:lang w:eastAsia="zh-CN"/>
        </w:rPr>
        <w:t>。</w:t>
      </w:r>
    </w:p>
    <w:p w14:paraId="523AE98D">
      <w:pPr>
        <w:pStyle w:val="31"/>
        <w:bidi w:val="0"/>
      </w:pPr>
      <w:bookmarkStart w:id="18" w:name="bookmark16"/>
      <w:bookmarkEnd w:id="18"/>
      <w:bookmarkStart w:id="19" w:name="bookmark66"/>
      <w:bookmarkEnd w:id="19"/>
      <w:bookmarkStart w:id="20" w:name="bookmark17"/>
      <w:bookmarkEnd w:id="20"/>
      <w:bookmarkStart w:id="21" w:name="_Toc638"/>
      <w:r>
        <w:t>运行维护工具</w:t>
      </w:r>
      <w:bookmarkEnd w:id="21"/>
    </w:p>
    <w:p w14:paraId="0B2B2740">
      <w:pPr>
        <w:pStyle w:val="29"/>
        <w:bidi w:val="0"/>
      </w:pPr>
      <w:r>
        <w:t>运维工具在2025 年的应用需要加强以下几个方面的工作：</w:t>
      </w:r>
    </w:p>
    <w:p w14:paraId="3CCF82F2">
      <w:pPr>
        <w:pStyle w:val="29"/>
        <w:numPr>
          <w:ilvl w:val="0"/>
          <w:numId w:val="5"/>
        </w:numPr>
        <w:bidi w:val="0"/>
        <w:ind w:left="425" w:leftChars="0" w:hanging="425" w:firstLineChars="0"/>
      </w:pPr>
      <w:r>
        <w:t>加强流程管理工具的改进工作：对于驻场服务项目，本年度要重点收集使用意见，对工具进行改进，提高工具的实用性；</w:t>
      </w:r>
    </w:p>
    <w:p w14:paraId="1106CD8D">
      <w:pPr>
        <w:pStyle w:val="29"/>
        <w:numPr>
          <w:ilvl w:val="0"/>
          <w:numId w:val="5"/>
        </w:numPr>
        <w:bidi w:val="0"/>
        <w:ind w:left="425" w:leftChars="0" w:hanging="425" w:firstLineChars="0"/>
      </w:pPr>
      <w:r>
        <w:t>继续加强自动化监控管理工具的应用：部分有条件的项目，已经上线自动化监控管理工具，需要对平台运维组的主要运维工程师加强自动化监控管理工具的培训，提升操作能力。</w:t>
      </w:r>
    </w:p>
    <w:p w14:paraId="19F37826">
      <w:pPr>
        <w:pStyle w:val="29"/>
        <w:numPr>
          <w:ilvl w:val="0"/>
          <w:numId w:val="5"/>
        </w:numPr>
        <w:bidi w:val="0"/>
        <w:ind w:left="425" w:leftChars="0" w:hanging="425" w:firstLineChars="0"/>
      </w:pPr>
      <w:r>
        <w:rPr>
          <w:rFonts w:hint="eastAsia"/>
          <w:lang w:val="en-US" w:eastAsia="zh-CN"/>
        </w:rPr>
        <w:t>运维工具至少自评估一次。</w:t>
      </w:r>
    </w:p>
    <w:p w14:paraId="5D26A819">
      <w:pPr>
        <w:pStyle w:val="31"/>
        <w:bidi w:val="0"/>
        <w:rPr>
          <w:rFonts w:hint="eastAsia"/>
          <w:lang w:val="en-US" w:eastAsia="zh-CN"/>
        </w:rPr>
      </w:pPr>
      <w:bookmarkStart w:id="22" w:name="_Toc371"/>
      <w:r>
        <w:rPr>
          <w:rFonts w:hint="eastAsia"/>
          <w:lang w:val="en-US" w:eastAsia="zh-CN"/>
        </w:rPr>
        <w:t>服务台</w:t>
      </w:r>
      <w:bookmarkEnd w:id="22"/>
    </w:p>
    <w:p w14:paraId="5D7A6B5E">
      <w:pPr>
        <w:spacing w:line="219" w:lineRule="auto"/>
        <w:ind w:left="443"/>
        <w:rPr>
          <w:rFonts w:hint="eastAsia" w:ascii="宋体" w:hAnsi="宋体" w:eastAsia="宋体" w:cs="宋体"/>
          <w:sz w:val="24"/>
          <w:szCs w:val="24"/>
          <w:lang w:eastAsia="zh-CN"/>
        </w:rPr>
      </w:pPr>
      <w:r>
        <w:rPr>
          <w:rFonts w:ascii="宋体" w:hAnsi="宋体" w:eastAsia="宋体" w:cs="宋体"/>
          <w:spacing w:val="-1"/>
          <w:sz w:val="24"/>
          <w:szCs w:val="24"/>
        </w:rPr>
        <w:t>针对客户投诉，2025年规划做出更好的要求</w:t>
      </w:r>
      <w:r>
        <w:rPr>
          <w:rFonts w:hint="eastAsia" w:ascii="宋体" w:hAnsi="宋体" w:eastAsia="宋体" w:cs="宋体"/>
          <w:spacing w:val="-1"/>
          <w:sz w:val="24"/>
          <w:szCs w:val="24"/>
          <w:lang w:eastAsia="zh-CN"/>
        </w:rPr>
        <w:t>：</w:t>
      </w:r>
    </w:p>
    <w:p w14:paraId="14EDC3A7">
      <w:pPr>
        <w:numPr>
          <w:ilvl w:val="0"/>
          <w:numId w:val="6"/>
        </w:numPr>
        <w:spacing w:before="184" w:line="219"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优化客户满意度调查，做好对客户的服务，确保客户满意度≥95.5</w:t>
      </w:r>
      <w:r>
        <w:rPr>
          <w:rFonts w:ascii="宋体" w:hAnsi="宋体" w:eastAsia="宋体" w:cs="宋体"/>
          <w:spacing w:val="-37"/>
          <w:sz w:val="24"/>
          <w:szCs w:val="24"/>
        </w:rPr>
        <w:t xml:space="preserve"> </w:t>
      </w:r>
      <w:r>
        <w:rPr>
          <w:rFonts w:ascii="宋体" w:hAnsi="宋体" w:eastAsia="宋体" w:cs="宋体"/>
          <w:spacing w:val="-1"/>
          <w:sz w:val="24"/>
          <w:szCs w:val="24"/>
        </w:rPr>
        <w:t>分。</w:t>
      </w:r>
    </w:p>
    <w:p w14:paraId="44A10473">
      <w:pPr>
        <w:numPr>
          <w:ilvl w:val="0"/>
          <w:numId w:val="6"/>
        </w:numPr>
        <w:spacing w:before="183" w:line="365" w:lineRule="auto"/>
        <w:ind w:left="425" w:leftChars="0" w:right="15" w:hanging="425" w:firstLineChars="0"/>
        <w:rPr>
          <w:rFonts w:ascii="宋体" w:hAnsi="宋体" w:eastAsia="宋体" w:cs="宋体"/>
          <w:sz w:val="24"/>
          <w:szCs w:val="24"/>
        </w:rPr>
      </w:pPr>
      <w:r>
        <w:rPr>
          <w:rFonts w:ascii="宋体" w:hAnsi="宋体" w:eastAsia="宋体" w:cs="宋体"/>
          <w:spacing w:val="-1"/>
          <w:sz w:val="24"/>
          <w:szCs w:val="24"/>
        </w:rPr>
        <w:t>对服务台日常工作记录的完整性，用户评价记</w:t>
      </w:r>
      <w:r>
        <w:rPr>
          <w:rFonts w:ascii="宋体" w:hAnsi="宋体" w:eastAsia="宋体" w:cs="宋体"/>
          <w:spacing w:val="-2"/>
          <w:sz w:val="24"/>
          <w:szCs w:val="24"/>
        </w:rPr>
        <w:t>录的完整性等指标进行评价改</w:t>
      </w:r>
      <w:r>
        <w:rPr>
          <w:rFonts w:ascii="宋体" w:hAnsi="宋体" w:eastAsia="宋体" w:cs="宋体"/>
          <w:spacing w:val="-4"/>
          <w:sz w:val="24"/>
          <w:szCs w:val="24"/>
        </w:rPr>
        <w:t>进。</w:t>
      </w:r>
    </w:p>
    <w:p w14:paraId="4B2417DC">
      <w:pPr>
        <w:pStyle w:val="29"/>
        <w:numPr>
          <w:ilvl w:val="0"/>
          <w:numId w:val="6"/>
        </w:numPr>
        <w:ind w:left="425" w:leftChars="0" w:hanging="425" w:firstLineChars="0"/>
        <w:rPr>
          <w:rFonts w:ascii="宋体" w:hAnsi="宋体" w:eastAsia="宋体" w:cs="宋体"/>
          <w:spacing w:val="-4"/>
          <w:sz w:val="24"/>
          <w:szCs w:val="24"/>
        </w:rPr>
      </w:pPr>
      <w:r>
        <w:rPr>
          <w:rFonts w:ascii="宋体" w:hAnsi="宋体" w:eastAsia="宋体" w:cs="宋体"/>
          <w:spacing w:val="2"/>
          <w:sz w:val="24"/>
          <w:szCs w:val="24"/>
        </w:rPr>
        <w:t>针对客户投诉，2025年规划做出更好的</w:t>
      </w:r>
      <w:r>
        <w:rPr>
          <w:rFonts w:ascii="宋体" w:hAnsi="宋体" w:eastAsia="宋体" w:cs="宋体"/>
          <w:spacing w:val="1"/>
          <w:sz w:val="24"/>
          <w:szCs w:val="24"/>
        </w:rPr>
        <w:t>要求，要求每个客户投诉都要进行</w:t>
      </w:r>
      <w:r>
        <w:rPr>
          <w:rFonts w:ascii="宋体" w:hAnsi="宋体" w:eastAsia="宋体" w:cs="宋体"/>
          <w:spacing w:val="-4"/>
          <w:sz w:val="24"/>
          <w:szCs w:val="24"/>
        </w:rPr>
        <w:t>当天有效处理，投诉24小时内有效处理率100%。</w:t>
      </w:r>
    </w:p>
    <w:p w14:paraId="0EC65056">
      <w:pPr>
        <w:numPr>
          <w:ilvl w:val="0"/>
          <w:numId w:val="6"/>
        </w:numPr>
        <w:spacing w:before="78" w:line="362" w:lineRule="auto"/>
        <w:ind w:left="425" w:leftChars="0" w:right="87" w:hanging="425" w:firstLineChars="0"/>
        <w:rPr>
          <w:rFonts w:ascii="宋体" w:hAnsi="宋体" w:eastAsia="宋体" w:cs="宋体"/>
          <w:sz w:val="24"/>
          <w:szCs w:val="24"/>
        </w:rPr>
      </w:pPr>
      <w:r>
        <w:rPr>
          <w:rFonts w:ascii="宋体" w:hAnsi="宋体" w:eastAsia="宋体" w:cs="宋体"/>
          <w:spacing w:val="2"/>
          <w:sz w:val="24"/>
          <w:szCs w:val="24"/>
        </w:rPr>
        <w:t>成功回访事件数占事件总数的比例，2025</w:t>
      </w:r>
      <w:r>
        <w:rPr>
          <w:rFonts w:ascii="宋体" w:hAnsi="宋体" w:eastAsia="宋体" w:cs="宋体"/>
          <w:spacing w:val="-47"/>
          <w:sz w:val="24"/>
          <w:szCs w:val="24"/>
        </w:rPr>
        <w:t xml:space="preserve"> </w:t>
      </w:r>
      <w:r>
        <w:rPr>
          <w:rFonts w:ascii="宋体" w:hAnsi="宋体" w:eastAsia="宋体" w:cs="宋体"/>
          <w:spacing w:val="2"/>
          <w:sz w:val="24"/>
          <w:szCs w:val="24"/>
        </w:rPr>
        <w:t>年规</w:t>
      </w:r>
      <w:r>
        <w:rPr>
          <w:rFonts w:ascii="宋体" w:hAnsi="宋体" w:eastAsia="宋体" w:cs="宋体"/>
          <w:spacing w:val="1"/>
          <w:sz w:val="24"/>
          <w:szCs w:val="24"/>
        </w:rPr>
        <w:t>划成功回访事件覆盖率目标</w:t>
      </w:r>
      <w:r>
        <w:rPr>
          <w:rFonts w:ascii="宋体" w:hAnsi="宋体" w:eastAsia="宋体" w:cs="宋体"/>
          <w:spacing w:val="-3"/>
          <w:sz w:val="24"/>
          <w:szCs w:val="24"/>
        </w:rPr>
        <w:t>应达到</w:t>
      </w:r>
      <w:r>
        <w:rPr>
          <w:rFonts w:ascii="宋体" w:hAnsi="宋体" w:eastAsia="宋体" w:cs="宋体"/>
          <w:spacing w:val="-49"/>
          <w:sz w:val="24"/>
          <w:szCs w:val="24"/>
        </w:rPr>
        <w:t xml:space="preserve"> </w:t>
      </w:r>
      <w:r>
        <w:rPr>
          <w:rFonts w:ascii="宋体" w:hAnsi="宋体" w:eastAsia="宋体" w:cs="宋体"/>
          <w:spacing w:val="-3"/>
          <w:sz w:val="24"/>
          <w:szCs w:val="24"/>
        </w:rPr>
        <w:t>60%。</w:t>
      </w:r>
    </w:p>
    <w:p w14:paraId="47BF1DEC">
      <w:pPr>
        <w:pStyle w:val="31"/>
        <w:bidi w:val="0"/>
        <w:rPr>
          <w:rFonts w:hint="eastAsia"/>
          <w:lang w:val="en-US" w:eastAsia="zh-CN"/>
        </w:rPr>
      </w:pPr>
      <w:bookmarkStart w:id="23" w:name="_Toc10197"/>
      <w:r>
        <w:rPr>
          <w:rFonts w:hint="eastAsia"/>
          <w:lang w:val="en-US" w:eastAsia="zh-CN"/>
        </w:rPr>
        <w:t>备件库</w:t>
      </w:r>
      <w:bookmarkEnd w:id="23"/>
    </w:p>
    <w:p w14:paraId="639D63F7">
      <w:pPr>
        <w:pStyle w:val="29"/>
        <w:bidi w:val="0"/>
        <w:rPr>
          <w:rFonts w:hint="eastAsia"/>
          <w:lang w:val="en-US" w:eastAsia="zh-CN"/>
        </w:rPr>
      </w:pPr>
      <w:r>
        <w:t>为确保运维服务的连续性与应急响应效率，公司将加强对备件库的标准化管理。备件管理工作的考核以季度为周期开展，核心指标为备件准确率，目标值为不低于95%</w:t>
      </w:r>
      <w:r>
        <w:rPr>
          <w:rFonts w:hint="eastAsia"/>
          <w:lang w:eastAsia="zh-CN"/>
        </w:rPr>
        <w:t>，</w:t>
      </w:r>
      <w:r>
        <w:rPr>
          <w:rFonts w:hint="eastAsia"/>
          <w:lang w:val="en-US" w:eastAsia="zh-CN"/>
        </w:rPr>
        <w:t>准确率按备件准确数量/备件总数量*100%计算。该</w:t>
      </w:r>
      <w:r>
        <w:t>指标旨在确保库存台账与实际物资一致，支持运维团队快速精准地获取所需备件，切实提升服务保障能力。</w:t>
      </w:r>
    </w:p>
    <w:p w14:paraId="28CFBB49">
      <w:pPr>
        <w:pStyle w:val="31"/>
        <w:bidi w:val="0"/>
        <w:rPr>
          <w:rFonts w:hint="eastAsia"/>
          <w:lang w:val="en-US" w:eastAsia="zh-CN"/>
        </w:rPr>
      </w:pPr>
      <w:bookmarkStart w:id="24" w:name="_Toc21856"/>
      <w:r>
        <w:rPr>
          <w:rFonts w:hint="eastAsia"/>
          <w:lang w:val="en-US" w:eastAsia="zh-CN"/>
        </w:rPr>
        <w:t>服务知识</w:t>
      </w:r>
      <w:bookmarkEnd w:id="24"/>
    </w:p>
    <w:p w14:paraId="268BA05F">
      <w:pPr>
        <w:pStyle w:val="29"/>
        <w:bidi w:val="0"/>
      </w:pPr>
      <w:r>
        <w:t>202</w:t>
      </w:r>
      <w:r>
        <w:rPr>
          <w:rFonts w:hint="eastAsia"/>
          <w:lang w:val="en-US" w:eastAsia="zh-CN"/>
        </w:rPr>
        <w:t>4</w:t>
      </w:r>
      <w:r>
        <w:t>年在服务知识维护和利用方面有了较大的提高，也为运维工作的效率、质量的提高起到很好的支撑作用，但在服务知识入库审核、服务知识的覆盖面等方面还存在不足。2025年规划在服务知识覆盖面、知识入库审核等多个方面进行优化完善。</w:t>
      </w:r>
    </w:p>
    <w:p w14:paraId="6C77A08B">
      <w:pPr>
        <w:pStyle w:val="29"/>
        <w:bidi w:val="0"/>
      </w:pPr>
      <w:r>
        <w:t>2025年的服务知识</w:t>
      </w:r>
      <w:r>
        <w:rPr>
          <w:rFonts w:hint="eastAsia"/>
          <w:lang w:val="en-US" w:eastAsia="zh-CN"/>
        </w:rPr>
        <w:t>利用率</w:t>
      </w:r>
      <w:r>
        <w:t>将</w:t>
      </w:r>
      <w:r>
        <w:rPr>
          <w:rFonts w:hint="eastAsia"/>
          <w:lang w:val="en-US" w:eastAsia="zh-CN"/>
        </w:rPr>
        <w:t>提高</w:t>
      </w:r>
      <w:r>
        <w:t>，</w:t>
      </w:r>
      <w:r>
        <w:rPr>
          <w:rFonts w:hint="eastAsia"/>
          <w:lang w:val="en-US" w:eastAsia="zh-CN"/>
        </w:rPr>
        <w:t>加强服务知识有效性审核，提高服务知识利用率</w:t>
      </w:r>
      <w:r>
        <w:t>。每季度知识</w:t>
      </w:r>
      <w:r>
        <w:rPr>
          <w:rFonts w:hint="eastAsia"/>
          <w:lang w:val="en-US" w:eastAsia="zh-CN"/>
        </w:rPr>
        <w:t>利用</w:t>
      </w:r>
      <w:r>
        <w:t>率需达到≥90%</w:t>
      </w:r>
      <w:r>
        <w:rPr>
          <w:rFonts w:hint="eastAsia"/>
          <w:lang w:eastAsia="zh-CN"/>
        </w:rPr>
        <w:t>，</w:t>
      </w:r>
      <w:r>
        <w:rPr>
          <w:rFonts w:hint="eastAsia"/>
          <w:lang w:val="en-US" w:eastAsia="zh-CN"/>
        </w:rPr>
        <w:t>利用率按</w:t>
      </w:r>
      <w:r>
        <w:rPr>
          <w:rFonts w:hint="eastAsia"/>
        </w:rPr>
        <w:t>实际被应用的知识条目数量/知识总条目数量</w:t>
      </w:r>
      <w:r>
        <w:rPr>
          <w:rFonts w:hint="eastAsia"/>
          <w:lang w:eastAsia="zh-CN"/>
        </w:rPr>
        <w:t>*</w:t>
      </w:r>
      <w:r>
        <w:rPr>
          <w:rFonts w:hint="eastAsia"/>
        </w:rPr>
        <w:t>100%</w:t>
      </w:r>
      <w:r>
        <w:rPr>
          <w:rFonts w:hint="eastAsia"/>
          <w:lang w:val="en-US" w:eastAsia="zh-CN"/>
        </w:rPr>
        <w:t>计算</w:t>
      </w:r>
      <w:r>
        <w:t>。</w:t>
      </w:r>
    </w:p>
    <w:p w14:paraId="77C92C83">
      <w:pPr>
        <w:pStyle w:val="31"/>
        <w:bidi w:val="0"/>
        <w:rPr>
          <w:rFonts w:hint="eastAsia"/>
          <w:lang w:val="en-US" w:eastAsia="zh-CN"/>
        </w:rPr>
      </w:pPr>
      <w:bookmarkStart w:id="25" w:name="_Toc2909"/>
      <w:r>
        <w:rPr>
          <w:rFonts w:hint="eastAsia"/>
          <w:lang w:val="en-US" w:eastAsia="zh-CN"/>
        </w:rPr>
        <w:t>最终软件库</w:t>
      </w:r>
      <w:bookmarkEnd w:id="25"/>
    </w:p>
    <w:p w14:paraId="1E8BFEB5">
      <w:pPr>
        <w:pStyle w:val="29"/>
        <w:bidi w:val="0"/>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69079148">
      <w:pPr>
        <w:pStyle w:val="29"/>
        <w:bidi w:val="0"/>
        <w:rPr>
          <w:rFonts w:hint="default"/>
        </w:rPr>
      </w:pPr>
      <w:r>
        <w:rPr>
          <w:rFonts w:hint="default"/>
        </w:rPr>
        <w:t>通过严格执行该标准，公司致力于实现软件库中资源的持续高可用性，年度软件可用率目标设定为不低于95%</w:t>
      </w:r>
      <w:r>
        <w:rPr>
          <w:rFonts w:hint="eastAsia"/>
          <w:lang w:eastAsia="zh-CN"/>
        </w:rPr>
        <w:t>，</w:t>
      </w:r>
      <w:r>
        <w:rPr>
          <w:rFonts w:hint="eastAsia"/>
          <w:lang w:val="en-US" w:eastAsia="zh-CN"/>
        </w:rPr>
        <w:t>可用率按</w:t>
      </w:r>
      <w:r>
        <w:rPr>
          <w:rFonts w:hint="eastAsia"/>
        </w:rPr>
        <w:t>实际被应用的知识条目数量/知识总条目数量</w:t>
      </w:r>
      <w:r>
        <w:rPr>
          <w:rFonts w:hint="eastAsia"/>
          <w:lang w:eastAsia="zh-CN"/>
        </w:rPr>
        <w:t>*</w:t>
      </w:r>
      <w:r>
        <w:rPr>
          <w:rFonts w:hint="eastAsia"/>
        </w:rPr>
        <w:t>100%</w:t>
      </w:r>
      <w:r>
        <w:rPr>
          <w:rFonts w:hint="eastAsia"/>
          <w:lang w:val="en-US" w:eastAsia="zh-CN"/>
        </w:rPr>
        <w:t>计算</w:t>
      </w:r>
      <w:r>
        <w:rPr>
          <w:rFonts w:hint="default"/>
        </w:rPr>
        <w:t>。</w:t>
      </w:r>
    </w:p>
    <w:p w14:paraId="023F74F6">
      <w:pPr>
        <w:pStyle w:val="29"/>
        <w:ind w:left="0" w:leftChars="0" w:firstLine="0" w:firstLineChars="0"/>
        <w:rPr>
          <w:rFonts w:hint="eastAsia"/>
          <w:lang w:val="en-US" w:eastAsia="zh-CN"/>
        </w:rPr>
      </w:pPr>
    </w:p>
    <w:p w14:paraId="50F12CA1">
      <w:pPr>
        <w:pStyle w:val="31"/>
        <w:bidi w:val="0"/>
        <w:rPr>
          <w:rFonts w:hint="default"/>
          <w:lang w:val="en-US" w:eastAsia="zh-CN"/>
        </w:rPr>
      </w:pPr>
      <w:bookmarkStart w:id="26" w:name="_Toc2938"/>
      <w:r>
        <w:rPr>
          <w:rFonts w:hint="eastAsia"/>
          <w:lang w:val="en-US" w:eastAsia="zh-CN"/>
        </w:rPr>
        <w:t>服务数据</w:t>
      </w:r>
      <w:bookmarkEnd w:id="26"/>
    </w:p>
    <w:p w14:paraId="5F7C32B8">
      <w:pPr>
        <w:pStyle w:val="29"/>
        <w:bidi w:val="0"/>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14:paraId="6D28758E">
      <w:pPr>
        <w:pStyle w:val="29"/>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数据质量。通过上述措施，致力于将整体服务数据的采集准确率提升至9</w:t>
      </w:r>
      <w:r>
        <w:rPr>
          <w:rFonts w:hint="eastAsia"/>
          <w:lang w:val="en-US" w:eastAsia="zh-CN"/>
        </w:rPr>
        <w:t>9</w:t>
      </w:r>
      <w:r>
        <w:rPr>
          <w:rFonts w:hint="default"/>
          <w:lang w:val="en-US" w:eastAsia="zh-CN"/>
        </w:rPr>
        <w:t>%以上</w:t>
      </w:r>
      <w:r>
        <w:rPr>
          <w:rFonts w:hint="eastAsia"/>
          <w:lang w:val="en-US" w:eastAsia="zh-CN"/>
        </w:rPr>
        <w:t>，准确率按服务数据的准确数量/服务数据总数*100%计算，每年考核一次</w:t>
      </w:r>
      <w:r>
        <w:rPr>
          <w:rFonts w:hint="default"/>
          <w:lang w:val="en-US" w:eastAsia="zh-CN"/>
        </w:rPr>
        <w:t>。</w:t>
      </w:r>
    </w:p>
    <w:p w14:paraId="3A2C75DC">
      <w:pPr>
        <w:pStyle w:val="30"/>
        <w:bidi w:val="0"/>
        <w:rPr>
          <w:rFonts w:hint="eastAsia"/>
          <w:lang w:val="en-US" w:eastAsia="zh-CN"/>
        </w:rPr>
      </w:pPr>
      <w:bookmarkStart w:id="27" w:name="_Toc19224"/>
      <w:r>
        <w:rPr>
          <w:rFonts w:hint="eastAsia"/>
          <w:lang w:val="en-US" w:eastAsia="zh-CN"/>
        </w:rPr>
        <w:t>技术</w:t>
      </w:r>
      <w:bookmarkEnd w:id="27"/>
    </w:p>
    <w:p w14:paraId="743D591B">
      <w:pPr>
        <w:pStyle w:val="29"/>
        <w:bidi w:val="0"/>
        <w:rPr>
          <w:rFonts w:hint="eastAsia"/>
          <w:lang w:val="en-US" w:eastAsia="zh-CN"/>
        </w:rPr>
      </w:pPr>
      <w:r>
        <w:t>根据公司2025年度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2025年度具体技术研发目标、重点项目及实施</w:t>
      </w:r>
      <w:r>
        <w:rPr>
          <w:rFonts w:hint="eastAsia"/>
          <w:lang w:val="en-US" w:eastAsia="zh-CN"/>
        </w:rPr>
        <w:t>计划</w:t>
      </w:r>
      <w:r>
        <w:t>见《</w:t>
      </w:r>
      <w:r>
        <w:rPr>
          <w:rFonts w:hint="eastAsia"/>
        </w:rPr>
        <w:t>2025年运维研发规划</w:t>
      </w:r>
      <w:r>
        <w:t>》</w:t>
      </w:r>
    </w:p>
    <w:p w14:paraId="40E4E074">
      <w:pPr>
        <w:pStyle w:val="30"/>
        <w:bidi w:val="0"/>
        <w:rPr>
          <w:rFonts w:hint="eastAsia"/>
          <w:lang w:val="en-US" w:eastAsia="zh-CN"/>
        </w:rPr>
      </w:pPr>
      <w:bookmarkStart w:id="28" w:name="_Toc6608"/>
      <w:r>
        <w:rPr>
          <w:rFonts w:hint="eastAsia"/>
          <w:lang w:val="en-US" w:eastAsia="zh-CN"/>
        </w:rPr>
        <w:t>过程</w:t>
      </w:r>
      <w:bookmarkEnd w:id="28"/>
    </w:p>
    <w:p w14:paraId="1589381A">
      <w:pPr>
        <w:pStyle w:val="31"/>
        <w:bidi w:val="0"/>
        <w:rPr>
          <w:rFonts w:hint="eastAsia"/>
          <w:lang w:val="en-US" w:eastAsia="zh-CN"/>
        </w:rPr>
      </w:pPr>
      <w:bookmarkStart w:id="29" w:name="_Toc23713"/>
      <w:r>
        <w:rPr>
          <w:rFonts w:hint="eastAsia"/>
          <w:lang w:val="en-US" w:eastAsia="zh-CN"/>
        </w:rPr>
        <w:t>过程框架设计</w:t>
      </w:r>
      <w:bookmarkEnd w:id="29"/>
    </w:p>
    <w:p w14:paraId="42E2C164">
      <w:pPr>
        <w:pStyle w:val="29"/>
        <w:bidi w:val="0"/>
        <w:rPr>
          <w:rFonts w:hint="eastAsia"/>
          <w:lang w:val="en-US" w:eastAsia="zh-CN"/>
        </w:rPr>
      </w:pPr>
      <w:r>
        <w:t>2025年，过程框架设计管理工作将重点推进框架的持续优化与迭代。依据前期调研及运行反馈，以季度为周期对现有过程框架进行评估与动态调整。例如，为高效响应紧急业务软件上线需求，将专门设计并增设“快速审核通道”，明确简化的审核流程与权责分工，精简冗余及非必要环节，在保障质量与合规的前提下，显著提升紧急需求的响应与交付速度</w:t>
      </w:r>
    </w:p>
    <w:p w14:paraId="133B8F44">
      <w:pPr>
        <w:pStyle w:val="31"/>
        <w:bidi w:val="0"/>
        <w:rPr>
          <w:rFonts w:hint="eastAsia"/>
          <w:lang w:val="en-US" w:eastAsia="zh-CN"/>
        </w:rPr>
      </w:pPr>
      <w:bookmarkStart w:id="30" w:name="_Toc16433"/>
      <w:r>
        <w:rPr>
          <w:rFonts w:hint="eastAsia"/>
          <w:lang w:val="en-US" w:eastAsia="zh-CN"/>
        </w:rPr>
        <w:t>服务级别管理</w:t>
      </w:r>
      <w:bookmarkEnd w:id="30"/>
    </w:p>
    <w:p w14:paraId="1DFF4026">
      <w:pPr>
        <w:pStyle w:val="29"/>
        <w:bidi w:val="0"/>
        <w:rPr>
          <w:rFonts w:hint="eastAsia"/>
          <w:lang w:val="en-US" w:eastAsia="zh-CN"/>
        </w:rPr>
      </w:pPr>
      <w:r>
        <w:t>2025年，服务级别管理工作将重点强化服务级别协议（SLA）的常态化监测与执行力度。要求各项目在运维过程中，对所有影响服务级别指标达成的事件进行完整跟踪与记录，并依据协议要求，按月量化计算各项关键指标数值。相关统计结果与达标情况需定期在服务报告中予以正式发布，以便各方清晰掌握服务水平现状，并为持续的服务优化提供数据支撑。</w:t>
      </w:r>
    </w:p>
    <w:p w14:paraId="08A2CE94">
      <w:pPr>
        <w:pStyle w:val="31"/>
        <w:bidi w:val="0"/>
        <w:rPr>
          <w:rFonts w:hint="eastAsia"/>
          <w:lang w:val="en-US" w:eastAsia="zh-CN"/>
        </w:rPr>
      </w:pPr>
      <w:bookmarkStart w:id="31" w:name="_Toc9895"/>
      <w:r>
        <w:rPr>
          <w:rFonts w:hint="eastAsia"/>
          <w:lang w:val="en-US" w:eastAsia="zh-CN"/>
        </w:rPr>
        <w:t>服务报告管理</w:t>
      </w:r>
      <w:bookmarkEnd w:id="31"/>
    </w:p>
    <w:p w14:paraId="00676F2B">
      <w:pPr>
        <w:pStyle w:val="29"/>
        <w:bidi w:val="0"/>
      </w:pPr>
      <w:r>
        <w:rPr>
          <w:rFonts w:hint="default"/>
        </w:rPr>
        <w:t>2025年，服务报告管理工作将重点围绕以下两方面深入开展：</w:t>
      </w:r>
    </w:p>
    <w:p w14:paraId="69D220E2">
      <w:pPr>
        <w:pStyle w:val="29"/>
        <w:numPr>
          <w:ilvl w:val="0"/>
          <w:numId w:val="7"/>
        </w:numPr>
        <w:bidi w:val="0"/>
        <w:ind w:left="425" w:leftChars="0" w:hanging="425" w:firstLineChars="0"/>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6B9346E7">
      <w:pPr>
        <w:pStyle w:val="29"/>
        <w:numPr>
          <w:ilvl w:val="0"/>
          <w:numId w:val="7"/>
        </w:numPr>
        <w:bidi w:val="0"/>
        <w:ind w:left="425" w:leftChars="0" w:hanging="425" w:firstLineChars="0"/>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7B1CCB47">
      <w:pPr>
        <w:pStyle w:val="31"/>
        <w:bidi w:val="0"/>
        <w:rPr>
          <w:rFonts w:hint="eastAsia"/>
          <w:lang w:val="en-US" w:eastAsia="zh-CN"/>
        </w:rPr>
      </w:pPr>
      <w:bookmarkStart w:id="32" w:name="_Toc16454"/>
      <w:r>
        <w:rPr>
          <w:rFonts w:hint="eastAsia"/>
          <w:lang w:val="en-US" w:eastAsia="zh-CN"/>
        </w:rPr>
        <w:t>事件管理</w:t>
      </w:r>
      <w:bookmarkEnd w:id="32"/>
    </w:p>
    <w:p w14:paraId="6C0145F3">
      <w:pPr>
        <w:pStyle w:val="29"/>
        <w:bidi w:val="0"/>
      </w:pPr>
      <w:r>
        <w:rPr>
          <w:rFonts w:hint="default"/>
        </w:rPr>
        <w:t>2025年，事件管理工作将重点围绕以下两方面进行深化与优化：</w:t>
      </w:r>
    </w:p>
    <w:p w14:paraId="30A6AB72">
      <w:pPr>
        <w:pStyle w:val="29"/>
        <w:numPr>
          <w:ilvl w:val="0"/>
          <w:numId w:val="8"/>
        </w:numPr>
        <w:bidi w:val="0"/>
        <w:ind w:left="425" w:leftChars="0" w:hanging="425" w:firstLineChars="0"/>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14:paraId="44D30AC5">
      <w:pPr>
        <w:pStyle w:val="29"/>
        <w:numPr>
          <w:ilvl w:val="0"/>
          <w:numId w:val="8"/>
        </w:numPr>
        <w:bidi w:val="0"/>
        <w:ind w:left="425" w:leftChars="0" w:hanging="425" w:firstLineChars="0"/>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14:paraId="3986444B">
      <w:pPr>
        <w:pStyle w:val="31"/>
        <w:bidi w:val="0"/>
        <w:rPr>
          <w:rFonts w:hint="eastAsia"/>
          <w:lang w:val="en-US" w:eastAsia="zh-CN"/>
        </w:rPr>
      </w:pPr>
      <w:bookmarkStart w:id="33" w:name="_Toc10113"/>
      <w:r>
        <w:rPr>
          <w:rFonts w:hint="eastAsia"/>
          <w:lang w:val="en-US" w:eastAsia="zh-CN"/>
        </w:rPr>
        <w:t>问题管理</w:t>
      </w:r>
      <w:bookmarkEnd w:id="33"/>
    </w:p>
    <w:p w14:paraId="51545252">
      <w:pPr>
        <w:pStyle w:val="29"/>
        <w:numPr>
          <w:ilvl w:val="0"/>
          <w:numId w:val="9"/>
        </w:numPr>
        <w:bidi w:val="0"/>
        <w:ind w:left="425" w:leftChars="0" w:hanging="425" w:firstLineChars="0"/>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5D952FF8">
      <w:pPr>
        <w:pStyle w:val="29"/>
        <w:numPr>
          <w:ilvl w:val="0"/>
          <w:numId w:val="9"/>
        </w:numPr>
        <w:bidi w:val="0"/>
        <w:ind w:left="425" w:leftChars="0" w:hanging="425" w:firstLineChars="0"/>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517EF210">
      <w:pPr>
        <w:pStyle w:val="31"/>
        <w:bidi w:val="0"/>
        <w:rPr>
          <w:rFonts w:hint="eastAsia"/>
          <w:lang w:val="en-US" w:eastAsia="zh-CN"/>
        </w:rPr>
      </w:pPr>
      <w:bookmarkStart w:id="34" w:name="_Toc20441"/>
      <w:r>
        <w:rPr>
          <w:rFonts w:hint="eastAsia"/>
          <w:lang w:val="en-US" w:eastAsia="zh-CN"/>
        </w:rPr>
        <w:t>变更管理</w:t>
      </w:r>
      <w:bookmarkEnd w:id="34"/>
    </w:p>
    <w:p w14:paraId="44BB724D">
      <w:pPr>
        <w:pStyle w:val="29"/>
        <w:bidi w:val="0"/>
        <w:rPr>
          <w:rFonts w:hint="eastAsia"/>
          <w:lang w:val="en-US" w:eastAsia="zh-CN"/>
        </w:rPr>
      </w:pPr>
      <w:r>
        <w:rPr>
          <w:rFonts w:hint="eastAsia"/>
          <w:lang w:val="en-US" w:eastAsia="zh-CN"/>
        </w:rPr>
        <w:t>2025年，变更管理工作将重点提升变更过程的规范性与安全性，核心任务如下：</w:t>
      </w:r>
    </w:p>
    <w:p w14:paraId="3B8444E7">
      <w:pPr>
        <w:pStyle w:val="29"/>
        <w:numPr>
          <w:ilvl w:val="0"/>
          <w:numId w:val="10"/>
        </w:numPr>
        <w:bidi w:val="0"/>
        <w:ind w:left="425" w:leftChars="0" w:hanging="425" w:firstLineChars="0"/>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14:paraId="2A62BCAC">
      <w:pPr>
        <w:pStyle w:val="29"/>
        <w:numPr>
          <w:ilvl w:val="0"/>
          <w:numId w:val="10"/>
        </w:numPr>
        <w:bidi w:val="0"/>
        <w:ind w:left="425" w:leftChars="0" w:hanging="425" w:firstLineChars="0"/>
        <w:rPr>
          <w:rFonts w:hint="eastAsia"/>
          <w:lang w:val="en-US" w:eastAsia="zh-CN"/>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777BBD9D">
      <w:pPr>
        <w:pStyle w:val="31"/>
        <w:bidi w:val="0"/>
        <w:rPr>
          <w:rFonts w:hint="eastAsia"/>
          <w:lang w:val="en-US" w:eastAsia="zh-CN"/>
        </w:rPr>
      </w:pPr>
      <w:bookmarkStart w:id="35" w:name="_Toc16778"/>
      <w:r>
        <w:rPr>
          <w:rFonts w:hint="eastAsia"/>
          <w:lang w:val="en-US" w:eastAsia="zh-CN"/>
        </w:rPr>
        <w:t>发布管理</w:t>
      </w:r>
      <w:bookmarkEnd w:id="35"/>
    </w:p>
    <w:p w14:paraId="0CAA50D1">
      <w:pPr>
        <w:pStyle w:val="29"/>
        <w:bidi w:val="0"/>
      </w:pPr>
      <w:r>
        <w:t>2025年，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p>
    <w:p w14:paraId="4E4CE52C">
      <w:pPr>
        <w:pStyle w:val="31"/>
        <w:bidi w:val="0"/>
        <w:rPr>
          <w:rFonts w:hint="eastAsia"/>
          <w:lang w:val="en-US" w:eastAsia="zh-CN"/>
        </w:rPr>
      </w:pPr>
      <w:bookmarkStart w:id="36" w:name="_Toc506"/>
      <w:r>
        <w:rPr>
          <w:rFonts w:hint="eastAsia"/>
          <w:lang w:val="en-US" w:eastAsia="zh-CN"/>
        </w:rPr>
        <w:t>配置管理</w:t>
      </w:r>
      <w:bookmarkEnd w:id="36"/>
    </w:p>
    <w:p w14:paraId="5F33F037">
      <w:pPr>
        <w:pStyle w:val="29"/>
        <w:bidi w:val="0"/>
        <w:rPr>
          <w:rFonts w:hint="eastAsia"/>
          <w:lang w:val="en-US" w:eastAsia="zh-CN"/>
        </w:rPr>
      </w:pPr>
      <w:r>
        <w:rPr>
          <w:rFonts w:hint="eastAsia"/>
          <w:lang w:val="en-US" w:eastAsia="zh-CN"/>
        </w:rPr>
        <w:t>2025年，配置管理工作将重点围绕配置数据库（CMDB）的准确性与有效性开展系统化提升，核心工作方向如下：</w:t>
      </w:r>
    </w:p>
    <w:p w14:paraId="354E8FC2">
      <w:pPr>
        <w:pStyle w:val="29"/>
        <w:numPr>
          <w:ilvl w:val="0"/>
          <w:numId w:val="11"/>
        </w:numPr>
        <w:bidi w:val="0"/>
        <w:ind w:left="425" w:leftChars="0" w:hanging="425" w:firstLineChars="0"/>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3000AB26">
      <w:pPr>
        <w:pStyle w:val="29"/>
        <w:numPr>
          <w:ilvl w:val="0"/>
          <w:numId w:val="11"/>
        </w:numPr>
        <w:bidi w:val="0"/>
        <w:ind w:left="425" w:leftChars="0" w:hanging="425" w:firstLineChars="0"/>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1A1966B7">
      <w:pPr>
        <w:pStyle w:val="31"/>
        <w:bidi w:val="0"/>
        <w:rPr>
          <w:rFonts w:hint="eastAsia"/>
          <w:lang w:val="en-US" w:eastAsia="zh-CN"/>
        </w:rPr>
      </w:pPr>
      <w:bookmarkStart w:id="37" w:name="_Toc16146"/>
      <w:r>
        <w:rPr>
          <w:rFonts w:hint="eastAsia"/>
          <w:lang w:val="en-US" w:eastAsia="zh-CN"/>
        </w:rPr>
        <w:t>服务可用性和连续性管理</w:t>
      </w:r>
      <w:bookmarkEnd w:id="37"/>
    </w:p>
    <w:p w14:paraId="2AD8963A">
      <w:pPr>
        <w:pStyle w:val="29"/>
        <w:bidi w:val="0"/>
        <w:rPr>
          <w:rFonts w:hint="eastAsia"/>
        </w:rPr>
      </w:pPr>
      <w:r>
        <w:rPr>
          <w:rFonts w:hint="eastAsia"/>
        </w:rPr>
        <w:t>2025年，服务可用性与连续性管理工作将围绕提升系统可靠性与应急响应能力重点展开，核心目标与措施如下：</w:t>
      </w:r>
    </w:p>
    <w:p w14:paraId="709370A9">
      <w:pPr>
        <w:pStyle w:val="29"/>
        <w:numPr>
          <w:ilvl w:val="0"/>
          <w:numId w:val="12"/>
        </w:numPr>
        <w:bidi w:val="0"/>
        <w:ind w:left="425" w:leftChars="0" w:hanging="425" w:firstLineChars="0"/>
        <w:rPr>
          <w:rFonts w:hint="eastAsia"/>
        </w:rPr>
      </w:pPr>
      <w:r>
        <w:rPr>
          <w:rFonts w:hint="eastAsia"/>
        </w:rPr>
        <w:t>强化系统监控与高可用保障：完善常态化监控预警机制，明确当系统可用率低于99.9%时，须立即触发根本原因分析及整改流程，形成事件-问题-改进的闭环管理，持续提升服务可用性水平。</w:t>
      </w:r>
    </w:p>
    <w:p w14:paraId="7914A89C">
      <w:pPr>
        <w:pStyle w:val="29"/>
        <w:numPr>
          <w:ilvl w:val="0"/>
          <w:numId w:val="12"/>
        </w:numPr>
        <w:bidi w:val="0"/>
        <w:ind w:left="425" w:leftChars="0" w:hanging="425" w:firstLineChars="0"/>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7E9642DC">
      <w:pPr>
        <w:pStyle w:val="29"/>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14:paraId="21890CAF">
      <w:pPr>
        <w:pStyle w:val="31"/>
        <w:bidi w:val="0"/>
        <w:rPr>
          <w:rFonts w:hint="eastAsia"/>
          <w:lang w:val="en-US" w:eastAsia="zh-CN"/>
        </w:rPr>
      </w:pPr>
      <w:bookmarkStart w:id="38" w:name="_Toc4035"/>
      <w:r>
        <w:rPr>
          <w:rFonts w:hint="eastAsia"/>
          <w:lang w:val="en-US" w:eastAsia="zh-CN"/>
        </w:rPr>
        <w:t>容量管理</w:t>
      </w:r>
      <w:bookmarkEnd w:id="38"/>
    </w:p>
    <w:p w14:paraId="4D91D82C">
      <w:pPr>
        <w:pStyle w:val="29"/>
        <w:bidi w:val="0"/>
        <w:rPr>
          <w:rFonts w:hint="eastAsia"/>
          <w:lang w:val="en-US" w:eastAsia="zh-CN"/>
        </w:rPr>
      </w:pPr>
      <w:r>
        <w:rPr>
          <w:rFonts w:hint="eastAsia"/>
          <w:lang w:val="en-US" w:eastAsia="zh-CN"/>
        </w:rPr>
        <w:t>2025年，系统容量管理工作将重点构建以事件驱动、数据为基的持续优化机制，具体计划如下：</w:t>
      </w:r>
    </w:p>
    <w:p w14:paraId="2035A877">
      <w:pPr>
        <w:pStyle w:val="29"/>
        <w:numPr>
          <w:ilvl w:val="0"/>
          <w:numId w:val="13"/>
        </w:numPr>
        <w:ind w:left="425" w:leftChars="0" w:hanging="425" w:firstLineChars="0"/>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62478D74">
      <w:pPr>
        <w:pStyle w:val="29"/>
        <w:numPr>
          <w:ilvl w:val="0"/>
          <w:numId w:val="13"/>
        </w:numPr>
        <w:ind w:left="425" w:leftChars="0" w:hanging="425" w:firstLineChars="0"/>
        <w:rPr>
          <w:rFonts w:hint="eastAsia"/>
          <w:lang w:val="en-US" w:eastAsia="zh-CN"/>
        </w:rPr>
      </w:pPr>
      <w:r>
        <w:rPr>
          <w:rFonts w:hint="eastAsia"/>
          <w:lang w:val="en-US" w:eastAsia="zh-CN"/>
        </w:rPr>
        <w:t>建立季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6C63BB53">
      <w:pPr>
        <w:pStyle w:val="31"/>
        <w:bidi w:val="0"/>
        <w:rPr>
          <w:rFonts w:hint="default"/>
          <w:lang w:val="en-US" w:eastAsia="zh-CN"/>
        </w:rPr>
      </w:pPr>
      <w:bookmarkStart w:id="39" w:name="_Toc15408"/>
      <w:r>
        <w:rPr>
          <w:rFonts w:hint="eastAsia"/>
          <w:lang w:val="en-US" w:eastAsia="zh-CN"/>
        </w:rPr>
        <w:t>信息安全管理</w:t>
      </w:r>
      <w:bookmarkEnd w:id="39"/>
    </w:p>
    <w:p w14:paraId="2377E501">
      <w:pPr>
        <w:pStyle w:val="29"/>
        <w:rPr>
          <w:rFonts w:hint="default"/>
          <w:lang w:val="en-US" w:eastAsia="zh-CN"/>
        </w:rPr>
      </w:pPr>
      <w:r>
        <w:rPr>
          <w:rFonts w:hint="default"/>
          <w:lang w:val="en-US" w:eastAsia="zh-CN"/>
        </w:rPr>
        <w:t>2025年，信息安全管理工作的开展将聚焦于人员能力与制度遵从两大核心领域，具体计划如下：</w:t>
      </w:r>
    </w:p>
    <w:p w14:paraId="05E8B1B9">
      <w:pPr>
        <w:pStyle w:val="29"/>
        <w:numPr>
          <w:ilvl w:val="0"/>
          <w:numId w:val="14"/>
        </w:numPr>
        <w:ind w:left="425" w:leftChars="0" w:hanging="425" w:firstLineChars="0"/>
        <w:rPr>
          <w:rFonts w:hint="default"/>
          <w:lang w:val="en-US" w:eastAsia="zh-CN"/>
        </w:rPr>
      </w:pPr>
      <w:r>
        <w:rPr>
          <w:rFonts w:hint="default"/>
          <w:lang w:val="en-US" w:eastAsia="zh-CN"/>
        </w:rPr>
        <w:t>深化信息安全工具技能培训：在</w:t>
      </w:r>
      <w:r>
        <w:rPr>
          <w:rFonts w:hint="eastAsia"/>
          <w:lang w:val="en-US" w:eastAsia="zh-CN"/>
        </w:rPr>
        <w:t>平台运维组</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14:paraId="5F9C1981">
      <w:pPr>
        <w:pStyle w:val="29"/>
        <w:numPr>
          <w:ilvl w:val="0"/>
          <w:numId w:val="14"/>
        </w:numPr>
        <w:ind w:left="425" w:leftChars="0" w:hanging="425" w:firstLineChars="0"/>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14:paraId="7257BAB3">
      <w:pPr>
        <w:pStyle w:val="30"/>
        <w:bidi w:val="0"/>
        <w:rPr>
          <w:rFonts w:hint="eastAsia"/>
          <w:lang w:val="en-US" w:eastAsia="zh-CN"/>
        </w:rPr>
      </w:pPr>
      <w:bookmarkStart w:id="40" w:name="_Toc30747"/>
      <w:r>
        <w:rPr>
          <w:rFonts w:hint="eastAsia"/>
          <w:lang w:val="en-US" w:eastAsia="zh-CN"/>
        </w:rPr>
        <w:t>交付</w:t>
      </w:r>
      <w:bookmarkEnd w:id="40"/>
    </w:p>
    <w:p w14:paraId="502BA4AA">
      <w:pPr>
        <w:pStyle w:val="29"/>
        <w:bidi w:val="0"/>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4A53B1CD">
      <w:pPr>
        <w:pStyle w:val="29"/>
        <w:bidi w:val="0"/>
        <w:rPr>
          <w:rFonts w:hint="default"/>
        </w:rPr>
      </w:pPr>
      <w:r>
        <w:rPr>
          <w:rFonts w:hint="default"/>
        </w:rPr>
        <w:t>2025年将重点推进该制度的优化工作，基于现行交付管理制度及SLA要求，深入分析客户需求，科学制定与客户期望和项目特点相匹配的交付方案。</w:t>
      </w:r>
    </w:p>
    <w:p w14:paraId="0C4D5760">
      <w:pPr>
        <w:pStyle w:val="30"/>
        <w:bidi w:val="0"/>
        <w:rPr>
          <w:rFonts w:hint="eastAsia"/>
          <w:lang w:val="en-US" w:eastAsia="zh-CN"/>
        </w:rPr>
      </w:pPr>
      <w:bookmarkStart w:id="41" w:name="_Toc27316"/>
      <w:r>
        <w:rPr>
          <w:rFonts w:hint="eastAsia"/>
          <w:lang w:val="en-US" w:eastAsia="zh-CN"/>
        </w:rPr>
        <w:t>应急</w:t>
      </w:r>
      <w:bookmarkEnd w:id="41"/>
    </w:p>
    <w:p w14:paraId="181F80B9">
      <w:pPr>
        <w:pStyle w:val="29"/>
        <w:bidi w:val="0"/>
        <w:rPr>
          <w:rFonts w:hint="eastAsia"/>
          <w:lang w:val="en-US" w:eastAsia="zh-CN"/>
        </w:rPr>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3404609B">
      <w:pPr>
        <w:pStyle w:val="30"/>
        <w:bidi w:val="0"/>
        <w:rPr>
          <w:rFonts w:hint="default"/>
          <w:lang w:val="en-US" w:eastAsia="zh-CN"/>
        </w:rPr>
      </w:pPr>
      <w:bookmarkStart w:id="42" w:name="_Toc8714"/>
      <w:r>
        <w:rPr>
          <w:rFonts w:hint="eastAsia"/>
          <w:lang w:val="en-US" w:eastAsia="zh-CN"/>
        </w:rPr>
        <w:t>质量</w:t>
      </w:r>
      <w:bookmarkEnd w:id="42"/>
    </w:p>
    <w:p w14:paraId="574ED955">
      <w:pPr>
        <w:pStyle w:val="31"/>
        <w:bidi w:val="0"/>
        <w:rPr>
          <w:rFonts w:hint="eastAsia"/>
          <w:lang w:val="en-US" w:eastAsia="zh-CN"/>
        </w:rPr>
      </w:pPr>
      <w:bookmarkStart w:id="43" w:name="_Toc2074"/>
      <w:r>
        <w:rPr>
          <w:rFonts w:hint="eastAsia"/>
          <w:lang w:val="en-US" w:eastAsia="zh-CN"/>
        </w:rPr>
        <w:t>运维服务质量内部评审</w:t>
      </w:r>
      <w:bookmarkEnd w:id="43"/>
    </w:p>
    <w:p w14:paraId="0F832953">
      <w:pPr>
        <w:spacing w:before="79" w:line="360" w:lineRule="auto"/>
        <w:ind w:left="29" w:right="39" w:firstLine="486"/>
        <w:rPr>
          <w:rFonts w:ascii="宋体" w:hAnsi="宋体" w:eastAsia="宋体" w:cs="宋体"/>
          <w:sz w:val="24"/>
          <w:szCs w:val="24"/>
        </w:rPr>
      </w:pPr>
      <w:r>
        <w:rPr>
          <w:rFonts w:ascii="宋体" w:hAnsi="宋体" w:eastAsia="宋体" w:cs="宋体"/>
          <w:spacing w:val="-2"/>
          <w:sz w:val="24"/>
          <w:szCs w:val="24"/>
        </w:rPr>
        <w:t>审核运维服务活动及其结果是否符合策划的安排，确保ITSS</w:t>
      </w:r>
      <w:r>
        <w:rPr>
          <w:rFonts w:ascii="宋体" w:hAnsi="宋体" w:eastAsia="宋体" w:cs="宋体"/>
          <w:spacing w:val="-51"/>
          <w:sz w:val="24"/>
          <w:szCs w:val="24"/>
        </w:rPr>
        <w:t xml:space="preserve"> </w:t>
      </w:r>
      <w:r>
        <w:rPr>
          <w:rFonts w:ascii="宋体" w:hAnsi="宋体" w:eastAsia="宋体" w:cs="宋体"/>
          <w:spacing w:val="-2"/>
          <w:sz w:val="24"/>
          <w:szCs w:val="24"/>
        </w:rPr>
        <w:t>运维服务能力管理体系的有效性。</w:t>
      </w:r>
    </w:p>
    <w:p w14:paraId="4F9AD46C">
      <w:pPr>
        <w:spacing w:line="219" w:lineRule="auto"/>
        <w:ind w:left="503"/>
        <w:rPr>
          <w:rFonts w:ascii="宋体" w:hAnsi="宋体" w:eastAsia="宋体" w:cs="宋体"/>
          <w:sz w:val="24"/>
          <w:szCs w:val="24"/>
        </w:rPr>
      </w:pPr>
      <w:r>
        <w:rPr>
          <w:rFonts w:ascii="宋体" w:hAnsi="宋体" w:eastAsia="宋体" w:cs="宋体"/>
          <w:spacing w:val="-1"/>
          <w:sz w:val="24"/>
          <w:szCs w:val="24"/>
        </w:rPr>
        <w:t>运维服务能力内审由</w:t>
      </w:r>
      <w:r>
        <w:rPr>
          <w:rFonts w:hint="eastAsia" w:ascii="宋体" w:hAnsi="宋体" w:cs="宋体"/>
          <w:spacing w:val="-1"/>
          <w:sz w:val="24"/>
          <w:szCs w:val="24"/>
          <w:lang w:val="en-US" w:eastAsia="zh-CN"/>
        </w:rPr>
        <w:t>管控部</w:t>
      </w:r>
      <w:r>
        <w:rPr>
          <w:rFonts w:ascii="宋体" w:hAnsi="宋体" w:eastAsia="宋体" w:cs="宋体"/>
          <w:spacing w:val="-1"/>
          <w:sz w:val="24"/>
          <w:szCs w:val="24"/>
        </w:rPr>
        <w:t>负责组织实施。</w:t>
      </w:r>
    </w:p>
    <w:p w14:paraId="0D14EBCE">
      <w:pPr>
        <w:pStyle w:val="31"/>
        <w:bidi w:val="0"/>
        <w:rPr>
          <w:rFonts w:hint="eastAsia"/>
          <w:lang w:val="en-US" w:eastAsia="zh-CN"/>
        </w:rPr>
      </w:pPr>
      <w:bookmarkStart w:id="44" w:name="_Toc17765"/>
      <w:r>
        <w:rPr>
          <w:rFonts w:hint="eastAsia"/>
          <w:lang w:val="en-US" w:eastAsia="zh-CN"/>
        </w:rPr>
        <w:t>运维服务质量管理评审</w:t>
      </w:r>
      <w:bookmarkEnd w:id="44"/>
    </w:p>
    <w:p w14:paraId="35FAE536">
      <w:pPr>
        <w:spacing w:before="78" w:line="360" w:lineRule="auto"/>
        <w:ind w:left="23" w:right="66" w:firstLine="485"/>
        <w:rPr>
          <w:rFonts w:ascii="宋体" w:hAnsi="宋体" w:eastAsia="宋体" w:cs="宋体"/>
          <w:sz w:val="24"/>
          <w:szCs w:val="24"/>
        </w:rPr>
      </w:pPr>
      <w:r>
        <w:rPr>
          <w:rFonts w:ascii="宋体" w:hAnsi="宋体" w:eastAsia="宋体" w:cs="宋体"/>
          <w:spacing w:val="-1"/>
          <w:sz w:val="24"/>
          <w:szCs w:val="24"/>
        </w:rPr>
        <w:t>管理评审目的是对公司</w:t>
      </w:r>
      <w:r>
        <w:rPr>
          <w:rFonts w:ascii="宋体" w:hAnsi="宋体" w:eastAsia="宋体" w:cs="宋体"/>
          <w:spacing w:val="-37"/>
          <w:sz w:val="24"/>
          <w:szCs w:val="24"/>
        </w:rPr>
        <w:t xml:space="preserve"> </w:t>
      </w:r>
      <w:r>
        <w:rPr>
          <w:rFonts w:ascii="宋体" w:hAnsi="宋体" w:eastAsia="宋体" w:cs="宋体"/>
          <w:spacing w:val="-1"/>
          <w:sz w:val="24"/>
          <w:szCs w:val="24"/>
        </w:rPr>
        <w:t>ITSS</w:t>
      </w:r>
      <w:r>
        <w:rPr>
          <w:rFonts w:ascii="宋体" w:hAnsi="宋体" w:eastAsia="宋体" w:cs="宋体"/>
          <w:spacing w:val="-51"/>
          <w:sz w:val="24"/>
          <w:szCs w:val="24"/>
        </w:rPr>
        <w:t xml:space="preserve"> </w:t>
      </w:r>
      <w:r>
        <w:rPr>
          <w:rFonts w:ascii="宋体" w:hAnsi="宋体" w:eastAsia="宋体" w:cs="宋体"/>
          <w:spacing w:val="-1"/>
          <w:sz w:val="24"/>
          <w:szCs w:val="24"/>
        </w:rPr>
        <w:t>运维服务能</w:t>
      </w:r>
      <w:r>
        <w:rPr>
          <w:rFonts w:ascii="宋体" w:hAnsi="宋体" w:eastAsia="宋体" w:cs="宋体"/>
          <w:spacing w:val="-2"/>
          <w:sz w:val="24"/>
          <w:szCs w:val="24"/>
        </w:rPr>
        <w:t>力管理体系进行系统评审，识别并</w:t>
      </w:r>
      <w:r>
        <w:rPr>
          <w:rFonts w:ascii="宋体" w:hAnsi="宋体" w:eastAsia="宋体" w:cs="宋体"/>
          <w:spacing w:val="-1"/>
          <w:sz w:val="24"/>
          <w:szCs w:val="24"/>
        </w:rPr>
        <w:t>确定各种改进的机会和需要，确保</w:t>
      </w:r>
      <w:r>
        <w:rPr>
          <w:rFonts w:ascii="宋体" w:hAnsi="宋体" w:eastAsia="宋体" w:cs="宋体"/>
          <w:spacing w:val="-37"/>
          <w:sz w:val="24"/>
          <w:szCs w:val="24"/>
        </w:rPr>
        <w:t xml:space="preserve"> </w:t>
      </w:r>
      <w:r>
        <w:rPr>
          <w:rFonts w:ascii="宋体" w:hAnsi="宋体" w:eastAsia="宋体" w:cs="宋体"/>
          <w:spacing w:val="-1"/>
          <w:sz w:val="24"/>
          <w:szCs w:val="24"/>
        </w:rPr>
        <w:t>ITSS</w:t>
      </w:r>
      <w:r>
        <w:rPr>
          <w:rFonts w:ascii="宋体" w:hAnsi="宋体" w:eastAsia="宋体" w:cs="宋体"/>
          <w:spacing w:val="-51"/>
          <w:sz w:val="24"/>
          <w:szCs w:val="24"/>
        </w:rPr>
        <w:t xml:space="preserve"> </w:t>
      </w:r>
      <w:r>
        <w:rPr>
          <w:rFonts w:ascii="宋体" w:hAnsi="宋体" w:eastAsia="宋体" w:cs="宋体"/>
          <w:spacing w:val="-1"/>
          <w:sz w:val="24"/>
          <w:szCs w:val="24"/>
        </w:rPr>
        <w:t>运维服务能力管理体系</w:t>
      </w:r>
      <w:r>
        <w:rPr>
          <w:rFonts w:ascii="宋体" w:hAnsi="宋体" w:eastAsia="宋体" w:cs="宋体"/>
          <w:spacing w:val="-2"/>
          <w:sz w:val="24"/>
          <w:szCs w:val="24"/>
        </w:rPr>
        <w:t>持续的适宜性、充分性和有效性。</w:t>
      </w:r>
    </w:p>
    <w:p w14:paraId="745259FA">
      <w:pPr>
        <w:spacing w:line="219" w:lineRule="auto"/>
        <w:ind w:left="503"/>
        <w:rPr>
          <w:rFonts w:ascii="宋体" w:hAnsi="宋体" w:eastAsia="宋体" w:cs="宋体"/>
          <w:sz w:val="24"/>
          <w:szCs w:val="24"/>
        </w:rPr>
      </w:pPr>
      <w:r>
        <w:rPr>
          <w:rFonts w:ascii="宋体" w:hAnsi="宋体" w:eastAsia="宋体" w:cs="宋体"/>
          <w:spacing w:val="-1"/>
          <w:sz w:val="24"/>
          <w:szCs w:val="24"/>
        </w:rPr>
        <w:t>运维服务能力管理评审由</w:t>
      </w:r>
      <w:r>
        <w:rPr>
          <w:rFonts w:hint="eastAsia" w:ascii="宋体" w:hAnsi="宋体" w:cs="宋体"/>
          <w:spacing w:val="-1"/>
          <w:sz w:val="24"/>
          <w:szCs w:val="24"/>
          <w:lang w:val="en-US" w:eastAsia="zh-CN"/>
        </w:rPr>
        <w:t>总经理组织实施</w:t>
      </w:r>
      <w:r>
        <w:rPr>
          <w:rFonts w:ascii="宋体" w:hAnsi="宋体" w:eastAsia="宋体" w:cs="宋体"/>
          <w:spacing w:val="-1"/>
          <w:sz w:val="24"/>
          <w:szCs w:val="24"/>
        </w:rPr>
        <w:t>。</w:t>
      </w:r>
    </w:p>
    <w:p w14:paraId="36E3E080">
      <w:pPr>
        <w:pStyle w:val="31"/>
        <w:bidi w:val="0"/>
        <w:rPr>
          <w:rFonts w:hint="default"/>
          <w:lang w:val="en-US" w:eastAsia="zh-CN"/>
        </w:rPr>
      </w:pPr>
      <w:bookmarkStart w:id="45" w:name="_Toc17406"/>
      <w:r>
        <w:rPr>
          <w:rFonts w:hint="eastAsia"/>
          <w:lang w:val="en-US" w:eastAsia="zh-CN"/>
        </w:rPr>
        <w:t>客户满意度调查与分析</w:t>
      </w:r>
      <w:bookmarkEnd w:id="45"/>
    </w:p>
    <w:p w14:paraId="683DEE5D">
      <w:pPr>
        <w:spacing w:before="79" w:line="360" w:lineRule="auto"/>
        <w:ind w:left="45" w:firstLine="457"/>
        <w:rPr>
          <w:rFonts w:ascii="宋体" w:hAnsi="宋体" w:eastAsia="宋体" w:cs="宋体"/>
          <w:sz w:val="24"/>
          <w:szCs w:val="24"/>
        </w:rPr>
      </w:pPr>
      <w:r>
        <w:rPr>
          <w:rFonts w:ascii="宋体" w:hAnsi="宋体" w:eastAsia="宋体" w:cs="宋体"/>
          <w:sz w:val="24"/>
          <w:szCs w:val="24"/>
        </w:rPr>
        <w:t>对客户反馈意见进行收集和分析（包括满意度调</w:t>
      </w:r>
      <w:r>
        <w:rPr>
          <w:rFonts w:ascii="宋体" w:hAnsi="宋体" w:eastAsia="宋体" w:cs="宋体"/>
          <w:spacing w:val="-1"/>
          <w:sz w:val="24"/>
          <w:szCs w:val="24"/>
        </w:rPr>
        <w:t>查结果和客户投诉意见</w:t>
      </w:r>
      <w:r>
        <w:rPr>
          <w:rFonts w:ascii="宋体" w:hAnsi="宋体" w:eastAsia="宋体" w:cs="宋体"/>
          <w:spacing w:val="-27"/>
          <w:sz w:val="24"/>
          <w:szCs w:val="24"/>
        </w:rPr>
        <w:t>），</w:t>
      </w:r>
      <w:r>
        <w:rPr>
          <w:rFonts w:ascii="宋体" w:hAnsi="宋体" w:eastAsia="宋体" w:cs="宋体"/>
          <w:spacing w:val="-1"/>
          <w:sz w:val="24"/>
          <w:szCs w:val="24"/>
        </w:rPr>
        <w:t>了解客户意见和需求，为改进提供依据。客户满意度调查每年开展一次。</w:t>
      </w:r>
    </w:p>
    <w:p w14:paraId="7D6C6106">
      <w:pPr>
        <w:spacing w:before="4" w:line="359" w:lineRule="auto"/>
        <w:ind w:left="22" w:right="42" w:firstLine="522"/>
        <w:jc w:val="both"/>
        <w:rPr>
          <w:rFonts w:ascii="宋体" w:hAnsi="宋体" w:eastAsia="宋体" w:cs="宋体"/>
          <w:sz w:val="24"/>
          <w:szCs w:val="24"/>
        </w:rPr>
      </w:pPr>
      <w:r>
        <w:rPr>
          <w:rFonts w:ascii="宋体" w:hAnsi="宋体" w:eastAsia="宋体" w:cs="宋体"/>
          <w:spacing w:val="-5"/>
          <w:sz w:val="24"/>
          <w:szCs w:val="24"/>
        </w:rPr>
        <w:t>日常工作中，通过对运维服务项目出现的客户投诉，客户部收集服务提供过</w:t>
      </w:r>
      <w:r>
        <w:rPr>
          <w:rFonts w:ascii="宋体" w:hAnsi="宋体" w:eastAsia="宋体" w:cs="宋体"/>
          <w:spacing w:val="-3"/>
          <w:sz w:val="24"/>
          <w:szCs w:val="24"/>
        </w:rPr>
        <w:t>程中存在的投诉问题，及时将问题反馈到管控部，调查不符合原因，责令相关部</w:t>
      </w:r>
      <w:r>
        <w:rPr>
          <w:rFonts w:ascii="宋体" w:hAnsi="宋体" w:eastAsia="宋体" w:cs="宋体"/>
          <w:spacing w:val="-1"/>
          <w:sz w:val="24"/>
          <w:szCs w:val="24"/>
        </w:rPr>
        <w:t>门采取纠正措施，确保客户的投诉及时解决。</w:t>
      </w:r>
    </w:p>
    <w:p w14:paraId="02E6BBB6">
      <w:pPr>
        <w:spacing w:before="1" w:line="361" w:lineRule="auto"/>
        <w:ind w:left="29" w:right="42" w:firstLine="477"/>
        <w:rPr>
          <w:rFonts w:ascii="宋体" w:hAnsi="宋体" w:eastAsia="宋体" w:cs="宋体"/>
          <w:sz w:val="24"/>
          <w:szCs w:val="24"/>
        </w:rPr>
      </w:pPr>
      <w:r>
        <w:rPr>
          <w:rFonts w:ascii="宋体" w:hAnsi="宋体" w:eastAsia="宋体" w:cs="宋体"/>
          <w:sz w:val="24"/>
          <w:szCs w:val="24"/>
        </w:rPr>
        <w:t>2025年客户满意度平均分需达到95.5</w:t>
      </w:r>
      <w:r>
        <w:rPr>
          <w:rFonts w:ascii="宋体" w:hAnsi="宋体" w:eastAsia="宋体" w:cs="宋体"/>
          <w:spacing w:val="-48"/>
          <w:sz w:val="24"/>
          <w:szCs w:val="24"/>
        </w:rPr>
        <w:t xml:space="preserve"> </w:t>
      </w:r>
      <w:r>
        <w:rPr>
          <w:rFonts w:ascii="宋体" w:hAnsi="宋体" w:eastAsia="宋体" w:cs="宋体"/>
          <w:sz w:val="24"/>
          <w:szCs w:val="24"/>
        </w:rPr>
        <w:t>分以上。</w:t>
      </w:r>
      <w:r>
        <w:rPr>
          <w:rFonts w:ascii="宋体" w:hAnsi="宋体" w:eastAsia="宋体" w:cs="宋体"/>
          <w:spacing w:val="-1"/>
          <w:sz w:val="24"/>
          <w:szCs w:val="24"/>
        </w:rPr>
        <w:t>组织级的质量保证计划及报</w:t>
      </w:r>
      <w:r>
        <w:rPr>
          <w:rFonts w:ascii="宋体" w:hAnsi="宋体" w:eastAsia="宋体" w:cs="宋体"/>
          <w:spacing w:val="-3"/>
          <w:sz w:val="24"/>
          <w:szCs w:val="24"/>
        </w:rPr>
        <w:t>告需按时完成。</w:t>
      </w:r>
    </w:p>
    <w:p w14:paraId="1953639F">
      <w:pPr>
        <w:pStyle w:val="28"/>
        <w:bidi w:val="0"/>
        <w:rPr>
          <w:rStyle w:val="38"/>
          <w:rFonts w:hint="default" w:eastAsia="宋体"/>
          <w:lang w:val="en-US" w:eastAsia="zh-CN"/>
        </w:rPr>
      </w:pPr>
      <w:bookmarkStart w:id="46" w:name="_Toc22005"/>
      <w:r>
        <w:rPr>
          <w:rStyle w:val="38"/>
          <w:rFonts w:hint="eastAsia" w:eastAsia="宋体"/>
          <w:lang w:val="en-US" w:eastAsia="zh-CN"/>
        </w:rPr>
        <w:t>附则</w:t>
      </w:r>
      <w:bookmarkEnd w:id="12"/>
      <w:bookmarkEnd w:id="46"/>
    </w:p>
    <w:p w14:paraId="1524D536">
      <w:pPr>
        <w:keepNext w:val="0"/>
        <w:keepLines w:val="0"/>
        <w:pageBreakBefore w:val="0"/>
        <w:widowControl/>
        <w:numPr>
          <w:ilvl w:val="0"/>
          <w:numId w:val="1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管控部</w:t>
      </w:r>
      <w:r>
        <w:rPr>
          <w:rFonts w:ascii="宋体" w:hAnsi="宋体" w:eastAsia="宋体" w:cs="宋体"/>
          <w:spacing w:val="-1"/>
          <w:sz w:val="24"/>
          <w:szCs w:val="24"/>
        </w:rPr>
        <w:t>。</w:t>
      </w:r>
    </w:p>
    <w:p w14:paraId="4B80C27A">
      <w:pPr>
        <w:keepNext w:val="0"/>
        <w:keepLines w:val="0"/>
        <w:pageBreakBefore w:val="0"/>
        <w:widowControl/>
        <w:numPr>
          <w:ilvl w:val="0"/>
          <w:numId w:val="1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473D27EC">
      <w:pPr>
        <w:pStyle w:val="28"/>
        <w:bidi w:val="0"/>
        <w:rPr>
          <w:rFonts w:hint="default"/>
          <w:lang w:val="en-US" w:eastAsia="zh-CN"/>
        </w:rPr>
      </w:pPr>
      <w:bookmarkStart w:id="47" w:name="bookmark14"/>
      <w:bookmarkEnd w:id="47"/>
      <w:bookmarkStart w:id="48" w:name="_Toc9022"/>
      <w:r>
        <w:rPr>
          <w:rFonts w:hint="eastAsia"/>
          <w:lang w:val="en-US" w:eastAsia="zh-CN"/>
        </w:rPr>
        <w:t>附件</w:t>
      </w:r>
      <w:bookmarkEnd w:id="48"/>
    </w:p>
    <w:p w14:paraId="49BDB362">
      <w:pPr>
        <w:pStyle w:val="29"/>
        <w:rPr>
          <w:rFonts w:hint="default"/>
          <w:lang w:val="en-US" w:eastAsia="zh-CN"/>
        </w:rPr>
      </w:pPr>
      <w:r>
        <w:rPr>
          <w:rFonts w:hint="eastAsia"/>
          <w:lang w:val="en-US" w:eastAsia="zh-CN"/>
        </w:rPr>
        <w:t>无</w:t>
      </w:r>
    </w:p>
    <w:p w14:paraId="06086DC2">
      <w:pPr>
        <w:pStyle w:val="28"/>
        <w:bidi w:val="0"/>
        <w:rPr>
          <w:rFonts w:hint="eastAsia"/>
          <w:lang w:val="en-US" w:eastAsia="zh-CN"/>
        </w:rPr>
      </w:pPr>
      <w:bookmarkStart w:id="49" w:name="_Toc27782"/>
      <w:r>
        <w:rPr>
          <w:rFonts w:hint="eastAsia"/>
          <w:lang w:val="en-US" w:eastAsia="zh-CN"/>
        </w:rPr>
        <w:t>记录</w:t>
      </w:r>
      <w:bookmarkEnd w:id="49"/>
    </w:p>
    <w:p w14:paraId="7E79016D">
      <w:pPr>
        <w:pStyle w:val="29"/>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F80E1C">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A7C67DC1"/>
    <w:multiLevelType w:val="singleLevel"/>
    <w:tmpl w:val="A7C67DC1"/>
    <w:lvl w:ilvl="0" w:tentative="0">
      <w:start w:val="1"/>
      <w:numFmt w:val="decimal"/>
      <w:lvlText w:val="%1."/>
      <w:lvlJc w:val="left"/>
      <w:pPr>
        <w:ind w:left="425" w:hanging="425"/>
      </w:pPr>
      <w:rPr>
        <w:rFonts w:hint="default"/>
      </w:rPr>
    </w:lvl>
  </w:abstractNum>
  <w:abstractNum w:abstractNumId="3">
    <w:nsid w:val="C74AD993"/>
    <w:multiLevelType w:val="singleLevel"/>
    <w:tmpl w:val="C74AD993"/>
    <w:lvl w:ilvl="0" w:tentative="0">
      <w:start w:val="1"/>
      <w:numFmt w:val="decimal"/>
      <w:lvlText w:val="%1."/>
      <w:lvlJc w:val="left"/>
      <w:pPr>
        <w:ind w:left="425" w:hanging="425"/>
      </w:pPr>
      <w:rPr>
        <w:rFonts w:hint="default"/>
      </w:rPr>
    </w:lvl>
  </w:abstractNum>
  <w:abstractNum w:abstractNumId="4">
    <w:nsid w:val="E1447284"/>
    <w:multiLevelType w:val="singleLevel"/>
    <w:tmpl w:val="E1447284"/>
    <w:lvl w:ilvl="0" w:tentative="0">
      <w:start w:val="1"/>
      <w:numFmt w:val="decimal"/>
      <w:lvlText w:val="%1."/>
      <w:lvlJc w:val="left"/>
      <w:pPr>
        <w:ind w:left="425" w:hanging="425"/>
      </w:pPr>
      <w:rPr>
        <w:rFonts w:hint="default"/>
      </w:rPr>
    </w:lvl>
  </w:abstractNum>
  <w:abstractNum w:abstractNumId="5">
    <w:nsid w:val="E8B4277F"/>
    <w:multiLevelType w:val="singleLevel"/>
    <w:tmpl w:val="E8B4277F"/>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23601102"/>
    <w:multiLevelType w:val="singleLevel"/>
    <w:tmpl w:val="23601102"/>
    <w:lvl w:ilvl="0" w:tentative="0">
      <w:start w:val="1"/>
      <w:numFmt w:val="decimal"/>
      <w:lvlText w:val="%1."/>
      <w:lvlJc w:val="left"/>
      <w:pPr>
        <w:ind w:left="425" w:hanging="425"/>
      </w:pPr>
      <w:rPr>
        <w:rFonts w:hint="default"/>
      </w:rPr>
    </w:lvl>
  </w:abstractNum>
  <w:abstractNum w:abstractNumId="8">
    <w:nsid w:val="334C0170"/>
    <w:multiLevelType w:val="singleLevel"/>
    <w:tmpl w:val="334C0170"/>
    <w:lvl w:ilvl="0" w:tentative="0">
      <w:start w:val="1"/>
      <w:numFmt w:val="decimal"/>
      <w:lvlText w:val="%1."/>
      <w:lvlJc w:val="left"/>
      <w:pPr>
        <w:ind w:left="425" w:hanging="425"/>
      </w:pPr>
      <w:rPr>
        <w:rFonts w:hint="default"/>
      </w:rPr>
    </w:lvl>
  </w:abstractNum>
  <w:abstractNum w:abstractNumId="9">
    <w:nsid w:val="36095BE5"/>
    <w:multiLevelType w:val="singleLevel"/>
    <w:tmpl w:val="36095BE5"/>
    <w:lvl w:ilvl="0" w:tentative="0">
      <w:start w:val="1"/>
      <w:numFmt w:val="decimal"/>
      <w:lvlText w:val="%1."/>
      <w:lvlJc w:val="left"/>
      <w:pPr>
        <w:ind w:left="425" w:hanging="425"/>
      </w:pPr>
      <w:rPr>
        <w:rFonts w:hint="default"/>
      </w:rPr>
    </w:lvl>
  </w:abstractNum>
  <w:abstractNum w:abstractNumId="10">
    <w:nsid w:val="451FDF0A"/>
    <w:multiLevelType w:val="singleLevel"/>
    <w:tmpl w:val="451FDF0A"/>
    <w:lvl w:ilvl="0" w:tentative="0">
      <w:start w:val="1"/>
      <w:numFmt w:val="decimal"/>
      <w:lvlText w:val="%1."/>
      <w:lvlJc w:val="left"/>
      <w:pPr>
        <w:ind w:left="425" w:hanging="425"/>
      </w:pPr>
      <w:rPr>
        <w:rFonts w:hint="default"/>
      </w:rPr>
    </w:lvl>
  </w:abstractNum>
  <w:abstractNum w:abstractNumId="11">
    <w:nsid w:val="5AC9E4D8"/>
    <w:multiLevelType w:val="singleLevel"/>
    <w:tmpl w:val="5AC9E4D8"/>
    <w:lvl w:ilvl="0" w:tentative="0">
      <w:start w:val="1"/>
      <w:numFmt w:val="decimal"/>
      <w:lvlText w:val="%1."/>
      <w:lvlJc w:val="left"/>
      <w:pPr>
        <w:ind w:left="425" w:hanging="425"/>
      </w:pPr>
      <w:rPr>
        <w:rFonts w:hint="default"/>
      </w:rPr>
    </w:lvl>
  </w:abstractNum>
  <w:abstractNum w:abstractNumId="12">
    <w:nsid w:val="6C10DCD7"/>
    <w:multiLevelType w:val="singleLevel"/>
    <w:tmpl w:val="6C10DCD7"/>
    <w:lvl w:ilvl="0" w:tentative="0">
      <w:start w:val="1"/>
      <w:numFmt w:val="decimal"/>
      <w:lvlText w:val="%1."/>
      <w:lvlJc w:val="left"/>
      <w:pPr>
        <w:ind w:left="425" w:hanging="425"/>
      </w:pPr>
      <w:rPr>
        <w:rFonts w:hint="default"/>
      </w:rPr>
    </w:lvl>
  </w:abstractNum>
  <w:abstractNum w:abstractNumId="13">
    <w:nsid w:val="749258C4"/>
    <w:multiLevelType w:val="singleLevel"/>
    <w:tmpl w:val="749258C4"/>
    <w:lvl w:ilvl="0" w:tentative="0">
      <w:start w:val="1"/>
      <w:numFmt w:val="decimal"/>
      <w:lvlText w:val="%1."/>
      <w:lvlJc w:val="left"/>
      <w:pPr>
        <w:ind w:left="425" w:hanging="425"/>
      </w:pPr>
      <w:rPr>
        <w:rFonts w:hint="default"/>
      </w:rPr>
    </w:lvl>
  </w:abstractNum>
  <w:abstractNum w:abstractNumId="14">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11"/>
  </w:num>
  <w:num w:numId="3">
    <w:abstractNumId w:val="9"/>
  </w:num>
  <w:num w:numId="4">
    <w:abstractNumId w:val="10"/>
  </w:num>
  <w:num w:numId="5">
    <w:abstractNumId w:val="1"/>
  </w:num>
  <w:num w:numId="6">
    <w:abstractNumId w:val="2"/>
  </w:num>
  <w:num w:numId="7">
    <w:abstractNumId w:val="3"/>
  </w:num>
  <w:num w:numId="8">
    <w:abstractNumId w:val="13"/>
  </w:num>
  <w:num w:numId="9">
    <w:abstractNumId w:val="7"/>
  </w:num>
  <w:num w:numId="10">
    <w:abstractNumId w:val="8"/>
  </w:num>
  <w:num w:numId="11">
    <w:abstractNumId w:val="14"/>
  </w:num>
  <w:num w:numId="12">
    <w:abstractNumId w:val="4"/>
  </w:num>
  <w:num w:numId="13">
    <w:abstractNumId w:val="5"/>
  </w:num>
  <w:num w:numId="14">
    <w:abstractNumId w:val="12"/>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8230677"/>
    <w:rsid w:val="3CD809A5"/>
    <w:rsid w:val="421B66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2147</Words>
  <Characters>2473</Characters>
  <Lines>0</Lines>
  <Paragraphs>0</Paragraphs>
  <TotalTime>1014</TotalTime>
  <ScaleCrop>false</ScaleCrop>
  <LinksUpToDate>false</LinksUpToDate>
  <CharactersWithSpaces>2643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2025-12-25T17:37:12Z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