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42A00">
      <w:pPr>
        <w:keepNext w:val="0"/>
        <w:keepLines w:val="0"/>
        <w:pageBreakBefore w:val="0"/>
        <w:widowControl w:val="0"/>
        <w:wordWrap/>
        <w:overflowPunct/>
        <w:bidi w:val="0"/>
        <w:spacing w:before="78" w:line="219" w:lineRule="auto"/>
        <w:ind w:left="25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文件编号：ITSS-0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2-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09</w:t>
      </w:r>
      <w:bookmarkStart w:id="25" w:name="_GoBack"/>
      <w:bookmarkEnd w:id="25"/>
    </w:p>
    <w:p w14:paraId="0BDF2B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3120" w:afterLines="1000" w:line="219" w:lineRule="auto"/>
        <w:ind w:left="23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pacing w:val="240"/>
          <w:kern w:val="0"/>
          <w:sz w:val="24"/>
          <w:szCs w:val="24"/>
        </w:rPr>
        <w:t>版</w:t>
      </w:r>
      <w:r>
        <w:rPr>
          <w:rFonts w:ascii="宋体" w:hAnsi="宋体" w:eastAsia="宋体" w:cs="宋体"/>
          <w:b/>
          <w:bCs/>
          <w:spacing w:val="0"/>
          <w:kern w:val="0"/>
          <w:sz w:val="24"/>
          <w:szCs w:val="24"/>
        </w:rPr>
        <w:t>本</w:t>
      </w:r>
      <w:r>
        <w:rPr>
          <w:rFonts w:ascii="宋体" w:hAnsi="宋体" w:eastAsia="宋体" w:cs="宋体"/>
          <w:b/>
          <w:bCs/>
          <w:spacing w:val="-5"/>
          <w:sz w:val="24"/>
          <w:szCs w:val="24"/>
        </w:rPr>
        <w:t>：V1.0</w:t>
      </w:r>
    </w:p>
    <w:p w14:paraId="229A8C78">
      <w:pPr>
        <w:pStyle w:val="24"/>
        <w:keepNext w:val="0"/>
        <w:keepLines w:val="0"/>
        <w:pageBreakBefore w:val="0"/>
        <w:widowControl w:val="0"/>
        <w:wordWrap/>
        <w:overflowPunct/>
        <w:bidi w:val="0"/>
      </w:pPr>
      <w:bookmarkStart w:id="0" w:name="_Toc32096"/>
      <w:bookmarkStart w:id="1" w:name="_Toc16543"/>
      <w:r>
        <w:rPr>
          <w:rFonts w:hint="eastAsia"/>
          <w:lang w:val="en-US" w:eastAsia="zh-CN"/>
        </w:rPr>
        <w:t>青岛瑞源工程集团有限公司</w:t>
      </w:r>
      <w:bookmarkEnd w:id="0"/>
      <w:bookmarkEnd w:id="1"/>
    </w:p>
    <w:p w14:paraId="165442AC">
      <w:pPr>
        <w:pStyle w:val="25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/>
        </w:rPr>
      </w:pPr>
      <w:bookmarkStart w:id="2" w:name="_Toc31588"/>
      <w:r>
        <w:rPr>
          <w:rFonts w:hint="eastAsia"/>
          <w:lang w:val="en-US" w:eastAsia="zh-CN"/>
        </w:rPr>
        <w:t>运维服务质量管理计划</w:t>
      </w:r>
      <w:bookmarkEnd w:id="2"/>
    </w:p>
    <w:tbl>
      <w:tblPr>
        <w:tblStyle w:val="21"/>
        <w:tblW w:w="0" w:type="auto"/>
        <w:tblInd w:w="244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17C0F4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810" w:hRule="atLeast"/>
        </w:trPr>
        <w:tc>
          <w:tcPr>
            <w:tcW w:w="1818" w:type="dxa"/>
          </w:tcPr>
          <w:p w14:paraId="2FE7128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0"/>
                <w:kern w:val="0"/>
                <w:u w:val="single"/>
                <w:fitText w:val="630" w:id="585508280"/>
                <w:vertAlign w:val="baseline"/>
                <w:lang w:val="en-US" w:eastAsia="zh-CN"/>
              </w:rPr>
              <w:t>薛成攀</w:t>
            </w:r>
          </w:p>
        </w:tc>
        <w:tc>
          <w:tcPr>
            <w:tcW w:w="4261" w:type="dxa"/>
          </w:tcPr>
          <w:p w14:paraId="4D390A0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72007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</w:trPr>
        <w:tc>
          <w:tcPr>
            <w:tcW w:w="1818" w:type="dxa"/>
            <w:shd w:val="clear" w:color="auto" w:fill="auto"/>
          </w:tcPr>
          <w:p w14:paraId="6DD60EC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105"/>
                <w:kern w:val="0"/>
                <w:u w:val="single"/>
                <w:fitText w:val="630" w:id="1202733970"/>
                <w:vertAlign w:val="baseline"/>
                <w:lang w:val="en-US" w:eastAsia="zh-CN"/>
              </w:rPr>
              <w:t>宋</w:t>
            </w:r>
            <w:r>
              <w:rPr>
                <w:rFonts w:hint="eastAsia"/>
                <w:spacing w:val="0"/>
                <w:kern w:val="0"/>
                <w:u w:val="single"/>
                <w:fitText w:val="630" w:id="1202733970"/>
                <w:vertAlign w:val="baseline"/>
                <w:lang w:val="en-US" w:eastAsia="zh-CN"/>
              </w:rPr>
              <w:t>振</w:t>
            </w:r>
          </w:p>
        </w:tc>
        <w:tc>
          <w:tcPr>
            <w:tcW w:w="4261" w:type="dxa"/>
            <w:shd w:val="clear" w:color="auto" w:fill="auto"/>
          </w:tcPr>
          <w:p w14:paraId="784EE63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5E5DFD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</w:trPr>
        <w:tc>
          <w:tcPr>
            <w:tcW w:w="1818" w:type="dxa"/>
          </w:tcPr>
          <w:p w14:paraId="3C0BFA5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于瑞建</w:t>
            </w:r>
          </w:p>
        </w:tc>
        <w:tc>
          <w:tcPr>
            <w:tcW w:w="4261" w:type="dxa"/>
          </w:tcPr>
          <w:p w14:paraId="7331EB8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EF8DE63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p w14:paraId="0BB357BB">
      <w:pPr>
        <w:keepNext w:val="0"/>
        <w:keepLines w:val="0"/>
        <w:pageBreakBefore w:val="0"/>
        <w:widowControl w:val="0"/>
        <w:wordWrap/>
        <w:overflowPunct/>
        <w:bidi w:val="0"/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301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55"/>
        <w:gridCol w:w="919"/>
        <w:gridCol w:w="2289"/>
        <w:gridCol w:w="1148"/>
        <w:gridCol w:w="1150"/>
        <w:gridCol w:w="1240"/>
      </w:tblGrid>
      <w:tr w14:paraId="1C9D834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</w:trPr>
        <w:tc>
          <w:tcPr>
            <w:tcW w:w="1555" w:type="dxa"/>
          </w:tcPr>
          <w:p w14:paraId="5F6D1AF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8" w:lineRule="auto"/>
              <w:ind w:left="607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0526777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7" w:lineRule="auto"/>
              <w:ind w:left="253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BE59B0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73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148" w:type="dxa"/>
          </w:tcPr>
          <w:p w14:paraId="3D50AF8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6"/>
                <w:sz w:val="20"/>
                <w:szCs w:val="20"/>
              </w:rPr>
              <w:t>编写人</w:t>
            </w:r>
          </w:p>
        </w:tc>
        <w:tc>
          <w:tcPr>
            <w:tcW w:w="1150" w:type="dxa"/>
          </w:tcPr>
          <w:p w14:paraId="0B6ACD8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5" w:line="228" w:lineRule="auto"/>
              <w:ind w:left="310"/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审核人</w:t>
            </w:r>
          </w:p>
        </w:tc>
        <w:tc>
          <w:tcPr>
            <w:tcW w:w="1240" w:type="dxa"/>
          </w:tcPr>
          <w:p w14:paraId="3F284D7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6" w:line="229" w:lineRule="auto"/>
              <w:ind w:left="311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46EAB0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DDAEB0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60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2025.01.10</w:t>
            </w:r>
          </w:p>
        </w:tc>
        <w:tc>
          <w:tcPr>
            <w:tcW w:w="919" w:type="dxa"/>
          </w:tcPr>
          <w:p w14:paraId="7801B28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67" w:lineRule="exact"/>
              <w:ind w:left="248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0B5298A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114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新建文档</w:t>
            </w:r>
          </w:p>
        </w:tc>
        <w:tc>
          <w:tcPr>
            <w:tcW w:w="1148" w:type="dxa"/>
          </w:tcPr>
          <w:p w14:paraId="7329F7C7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hint="eastAsia"/>
                <w:spacing w:val="0"/>
                <w:kern w:val="0"/>
                <w:u w:val="none"/>
                <w:fitText w:val="630" w:id="334986993"/>
                <w:vertAlign w:val="baseline"/>
                <w:lang w:val="en-US" w:eastAsia="zh-CN"/>
              </w:rPr>
              <w:t>薛成攀</w:t>
            </w:r>
          </w:p>
        </w:tc>
        <w:tc>
          <w:tcPr>
            <w:tcW w:w="1150" w:type="dxa"/>
          </w:tcPr>
          <w:p w14:paraId="7F5AB52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  <w:rPr>
                <w:rFonts w:hint="eastAsia" w:ascii="宋体" w:hAnsi="宋体" w:eastAsia="宋体" w:cs="宋体"/>
                <w:spacing w:val="5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5"/>
                <w:sz w:val="20"/>
                <w:szCs w:val="20"/>
                <w:lang w:val="en-US" w:eastAsia="zh-CN"/>
              </w:rPr>
              <w:t>宋振</w:t>
            </w:r>
          </w:p>
        </w:tc>
        <w:tc>
          <w:tcPr>
            <w:tcW w:w="1240" w:type="dxa"/>
          </w:tcPr>
          <w:p w14:paraId="702C137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6"/>
                <w:sz w:val="20"/>
                <w:szCs w:val="20"/>
                <w:lang w:val="en-US" w:eastAsia="zh-CN"/>
              </w:rPr>
              <w:t>于瑞建</w:t>
            </w:r>
          </w:p>
        </w:tc>
      </w:tr>
      <w:tr w14:paraId="2C68833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4C0B99D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563DFA9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2CA51DC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D2472A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150" w:type="dxa"/>
          </w:tcPr>
          <w:p w14:paraId="433A897E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2" w:line="228" w:lineRule="auto"/>
              <w:ind w:left="313"/>
            </w:pPr>
          </w:p>
        </w:tc>
        <w:tc>
          <w:tcPr>
            <w:tcW w:w="1240" w:type="dxa"/>
          </w:tcPr>
          <w:p w14:paraId="3A40B266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B43DED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2418AAB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7342F217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520713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1120CD0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150" w:type="dxa"/>
          </w:tcPr>
          <w:p w14:paraId="689459CA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173" w:line="229" w:lineRule="auto"/>
              <w:ind w:left="314"/>
            </w:pPr>
          </w:p>
        </w:tc>
        <w:tc>
          <w:tcPr>
            <w:tcW w:w="1240" w:type="dxa"/>
          </w:tcPr>
          <w:p w14:paraId="7B113DD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7D4C40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1555" w:type="dxa"/>
          </w:tcPr>
          <w:p w14:paraId="169487C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6DFC5C8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55FC087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A52876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47FCACBF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3E7D67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1699DF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</w:trPr>
        <w:tc>
          <w:tcPr>
            <w:tcW w:w="1555" w:type="dxa"/>
          </w:tcPr>
          <w:p w14:paraId="0EE87F89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BC2AC1A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1975C4A0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067BF4D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7E39557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5A1EB56B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  <w:tr w14:paraId="5B4DF6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1555" w:type="dxa"/>
          </w:tcPr>
          <w:p w14:paraId="096CC445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919" w:type="dxa"/>
          </w:tcPr>
          <w:p w14:paraId="01863924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2289" w:type="dxa"/>
          </w:tcPr>
          <w:p w14:paraId="4A7971D3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48" w:type="dxa"/>
          </w:tcPr>
          <w:p w14:paraId="2DCAAECC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150" w:type="dxa"/>
          </w:tcPr>
          <w:p w14:paraId="6843B22E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  <w:tc>
          <w:tcPr>
            <w:tcW w:w="1240" w:type="dxa"/>
          </w:tcPr>
          <w:p w14:paraId="6490B901">
            <w:pPr>
              <w:pStyle w:val="27"/>
              <w:keepNext w:val="0"/>
              <w:keepLines w:val="0"/>
              <w:pageBreakBefore w:val="0"/>
              <w:widowControl w:val="0"/>
              <w:wordWrap/>
              <w:overflowPunct/>
              <w:bidi w:val="0"/>
            </w:pPr>
          </w:p>
        </w:tc>
      </w:tr>
    </w:tbl>
    <w:p w14:paraId="7475AA37">
      <w:pPr>
        <w:keepNext w:val="0"/>
        <w:keepLines w:val="0"/>
        <w:pageBreakBefore w:val="0"/>
        <w:widowControl w:val="0"/>
        <w:wordWrap/>
        <w:overflowPunct/>
        <w:bidi w:val="0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F30C54E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888F9B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青岛瑞源工程集团有限公司</w:t>
          </w:r>
          <w:r>
            <w:tab/>
          </w:r>
          <w:r>
            <w:fldChar w:fldCharType="begin"/>
          </w:r>
          <w:r>
            <w:instrText xml:space="preserve"> PAGEREF _Toc16543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814CE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运维服务质量管理计划</w:t>
          </w:r>
          <w:r>
            <w:tab/>
          </w:r>
          <w:r>
            <w:fldChar w:fldCharType="begin"/>
          </w:r>
          <w:r>
            <w:instrText xml:space="preserve"> PAGEREF _Toc31588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5BE8D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_Toc26539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目的</w:t>
          </w:r>
          <w:r>
            <w:tab/>
          </w:r>
          <w:r>
            <w:fldChar w:fldCharType="begin"/>
          </w:r>
          <w:r>
            <w:instrText xml:space="preserve"> PAGEREF _Toc26539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A2F64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_Toc11520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E66BE7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_Toc24242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适用</w:t>
          </w:r>
          <w:r>
            <w:t>范围</w:t>
          </w:r>
          <w:r>
            <w:tab/>
          </w:r>
          <w:r>
            <w:fldChar w:fldCharType="begin"/>
          </w:r>
          <w:r>
            <w:instrText xml:space="preserve"> PAGEREF _Toc24242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35D971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_Toc9209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_Toc9209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0F9FD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_Toc26301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平台运维组</w:t>
          </w:r>
          <w:r>
            <w:tab/>
          </w:r>
          <w:r>
            <w:fldChar w:fldCharType="begin"/>
          </w:r>
          <w:r>
            <w:instrText xml:space="preserve"> PAGEREF _Toc26301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4E428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_Toc16789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管控部</w:t>
          </w:r>
          <w:r>
            <w:tab/>
          </w:r>
          <w:r>
            <w:fldChar w:fldCharType="begin"/>
          </w:r>
          <w:r>
            <w:instrText xml:space="preserve"> PAGEREF _Toc16789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C3C7EE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综合办公室</w:t>
          </w:r>
          <w:r>
            <w:tab/>
          </w:r>
          <w:r>
            <w:fldChar w:fldCharType="begin"/>
          </w:r>
          <w:r>
            <w:instrText xml:space="preserve"> PAGEREF _Toc30423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D30227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9C49C64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_Toc31161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 </w:t>
          </w:r>
          <w:r>
            <w:rPr>
              <w:rFonts w:hint="eastAsia"/>
              <w:lang w:val="en-US" w:eastAsia="zh-CN"/>
            </w:rPr>
            <w:t>研发组</w:t>
          </w:r>
          <w:r>
            <w:tab/>
          </w:r>
          <w:r>
            <w:fldChar w:fldCharType="begin"/>
          </w:r>
          <w:r>
            <w:instrText xml:space="preserve"> PAGEREF _Toc31161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B40AC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_Toc27258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质量计划实施</w:t>
          </w:r>
          <w:r>
            <w:tab/>
          </w:r>
          <w:r>
            <w:fldChar w:fldCharType="begin"/>
          </w:r>
          <w:r>
            <w:instrText xml:space="preserve"> PAGEREF _Toc27258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F6D28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运维服务质量保障总体活动</w:t>
          </w:r>
          <w:r>
            <w:tab/>
          </w:r>
          <w:r>
            <w:fldChar w:fldCharType="begin"/>
          </w:r>
          <w:r>
            <w:instrText xml:space="preserve"> PAGEREF _Toc26072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A85C486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运维服务能力体系内部审核</w:t>
          </w:r>
          <w:r>
            <w:tab/>
          </w:r>
          <w:r>
            <w:fldChar w:fldCharType="begin"/>
          </w:r>
          <w:r>
            <w:instrText xml:space="preserve"> PAGEREF _Toc82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10BED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5.3. 运维服务能力管理评审</w:t>
          </w:r>
          <w:r>
            <w:tab/>
          </w:r>
          <w:r>
            <w:fldChar w:fldCharType="begin"/>
          </w:r>
          <w:r>
            <w:instrText xml:space="preserve"> PAGEREF _Toc27350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23269F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_Toc7776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5.4. </w:t>
          </w:r>
          <w:r>
            <w:rPr>
              <w:rFonts w:hint="eastAsia"/>
              <w:lang w:val="en-US" w:eastAsia="zh-CN"/>
            </w:rPr>
            <w:t>客户满意度调查与分析</w:t>
          </w:r>
          <w:r>
            <w:tab/>
          </w:r>
          <w:r>
            <w:fldChar w:fldCharType="begin"/>
          </w:r>
          <w:r>
            <w:instrText xml:space="preserve"> PAGEREF _Toc7776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A58C1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5.5. </w:t>
          </w:r>
          <w:r>
            <w:rPr>
              <w:rFonts w:hint="eastAsia"/>
              <w:lang w:val="en-US" w:eastAsia="zh-CN"/>
            </w:rPr>
            <w:t>服务质量改进</w:t>
          </w:r>
          <w:r>
            <w:tab/>
          </w:r>
          <w:r>
            <w:fldChar w:fldCharType="begin"/>
          </w:r>
          <w:r>
            <w:instrText xml:space="preserve"> PAGEREF _Toc1969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88B8D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6.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_Toc26720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228EC8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_Toc14110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1308F4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wordWrap/>
            <w:overflowPunct/>
            <w:bidi w:val="0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8.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_Toc25718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674DBCC">
          <w:pPr>
            <w:keepNext w:val="0"/>
            <w:keepLines w:val="0"/>
            <w:pageBreakBefore w:val="0"/>
            <w:widowControl w:val="0"/>
            <w:wordWrap/>
            <w:overflowPunct/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534F87F4">
      <w:pPr>
        <w:keepNext w:val="0"/>
        <w:keepLines w:val="0"/>
        <w:pageBreakBefore w:val="0"/>
        <w:widowControl w:val="0"/>
        <w:wordWrap/>
        <w:overflowPunct/>
        <w:bidi w:val="0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5887B31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3" w:name="_Toc26539"/>
      <w:r>
        <w:t>目的</w:t>
      </w:r>
      <w:bookmarkEnd w:id="3"/>
    </w:p>
    <w:p w14:paraId="3EAF0352">
      <w:pPr>
        <w:pStyle w:val="29"/>
        <w:keepNext w:val="0"/>
        <w:keepLines w:val="0"/>
        <w:pageBreakBefore w:val="0"/>
        <w:widowControl w:val="0"/>
        <w:wordWrap/>
        <w:overflowPunct/>
        <w:bidi w:val="0"/>
      </w:pPr>
      <w:r>
        <w:rPr>
          <w:rFonts w:hint="default"/>
        </w:rPr>
        <w:t>建立一套系统化、可量化、持续改进的管理体系，以确保向客户（内部或外部）提供的运维服务是稳定、高效、可靠且符合既定标准与客户期望的</w:t>
      </w:r>
    </w:p>
    <w:p w14:paraId="52C8795B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4" w:name="_Toc11520"/>
      <w:r>
        <w:rPr>
          <w:rFonts w:hint="eastAsia"/>
          <w:lang w:val="en-US" w:eastAsia="zh-CN"/>
        </w:rPr>
        <w:t>原则</w:t>
      </w:r>
      <w:bookmarkEnd w:id="4"/>
    </w:p>
    <w:p w14:paraId="2B74C340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以客户为中心：所有运维活动和质量衡量标准都应围绕客户需求和业务价值展开。</w:t>
      </w:r>
    </w:p>
    <w:p w14:paraId="5862164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预防为主：从事后救火转向事前预防，通过监控、巡检、容量规划等手段主动发现和消除潜在风险。</w:t>
      </w:r>
    </w:p>
    <w:p w14:paraId="5D4759FF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数据驱动：决策基于客观数据和事实（如MTTR平均修复时间、MTBF平均无故障时间等），而非主观臆断。</w:t>
      </w:r>
    </w:p>
    <w:p w14:paraId="4717B422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流程标准化：建立并遵循统一、规范的服务管理流程（如ITIL最佳实践），确保服务的一致性和可追溯性。</w:t>
      </w:r>
    </w:p>
    <w:p w14:paraId="4231039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全员参与：服务质量不仅是平台运维组的责任，而是需要所有相关部门（综合办公室、研发组、管控部、采购部、管控部）协同保障。</w:t>
      </w:r>
    </w:p>
    <w:p w14:paraId="17B4678D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持续改进：将改进融入日常工作中，定期评审流程和指标，寻求一切优化机会。</w:t>
      </w:r>
    </w:p>
    <w:p w14:paraId="74559287">
      <w:pPr>
        <w:pStyle w:val="28"/>
        <w:keepNext w:val="0"/>
        <w:keepLines w:val="0"/>
        <w:pageBreakBefore w:val="0"/>
        <w:widowControl w:val="0"/>
        <w:wordWrap/>
        <w:overflowPunct/>
        <w:bidi w:val="0"/>
      </w:pPr>
      <w:bookmarkStart w:id="5" w:name="_Toc24242"/>
      <w:r>
        <w:rPr>
          <w:rFonts w:hint="eastAsia"/>
          <w:lang w:val="en-US" w:eastAsia="zh-CN"/>
        </w:rPr>
        <w:t>适用</w:t>
      </w:r>
      <w:r>
        <w:t>范围</w:t>
      </w:r>
      <w:bookmarkEnd w:id="5"/>
    </w:p>
    <w:p w14:paraId="0CE2DFBD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eastAsia" w:eastAsia="宋体"/>
          <w:lang w:eastAsia="zh-CN"/>
        </w:rPr>
      </w:pPr>
      <w:r>
        <w:t>本质量管理计划适用于</w:t>
      </w:r>
      <w:r>
        <w:rPr>
          <w:rFonts w:hint="default"/>
        </w:rPr>
        <w:t>公司所有IT运维服务及相关支持活动</w:t>
      </w:r>
      <w:r>
        <w:rPr>
          <w:rFonts w:hint="eastAsia"/>
          <w:lang w:eastAsia="zh-CN"/>
        </w:rPr>
        <w:t>。</w:t>
      </w:r>
    </w:p>
    <w:p w14:paraId="2D5059D2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6" w:name="_Toc9209"/>
      <w:r>
        <w:rPr>
          <w:rFonts w:hint="eastAsia"/>
          <w:lang w:val="en-US" w:eastAsia="zh-CN"/>
        </w:rPr>
        <w:t>岗位职责</w:t>
      </w:r>
      <w:bookmarkEnd w:id="6"/>
    </w:p>
    <w:p w14:paraId="2C39D803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7" w:name="_Toc26301"/>
      <w:r>
        <w:rPr>
          <w:rFonts w:hint="eastAsia"/>
          <w:lang w:val="en-US" w:eastAsia="zh-CN"/>
        </w:rPr>
        <w:t>平台运维组</w:t>
      </w:r>
      <w:bookmarkEnd w:id="7"/>
    </w:p>
    <w:p w14:paraId="42354DE7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执行与交付：严格按照既定的流程和标准操作规范（SOP）执行日常运维任务，确保服务交付符合SLA。</w:t>
      </w:r>
    </w:p>
    <w:p w14:paraId="08D5DFFF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记录与报告：准确、及时地记录事件、变更、问题等所有服务工单，并定期生成服务报告。</w:t>
      </w:r>
    </w:p>
    <w:p w14:paraId="51FB3E15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主动监控与预防：负责7x24小时监控系统状态，执行预防性巡检，主动发现并处理隐患。</w:t>
      </w:r>
    </w:p>
    <w:p w14:paraId="46F48CF2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应急响应：在发生服务故障时，立即启动应急预案，快速恢复服务，并参与事后复盘。</w:t>
      </w:r>
    </w:p>
    <w:p w14:paraId="41D9B68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提出改进建议：基于一线工作经验，向管控部和团队负责人反馈流程优化和技术改进建议。</w:t>
      </w:r>
    </w:p>
    <w:p w14:paraId="152260B1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8" w:name="_Toc16789"/>
      <w:r>
        <w:rPr>
          <w:rFonts w:hint="eastAsia"/>
          <w:lang w:val="en-US" w:eastAsia="zh-CN"/>
        </w:rPr>
        <w:t>管控部</w:t>
      </w:r>
      <w:bookmarkEnd w:id="8"/>
    </w:p>
    <w:p w14:paraId="236A3326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体系构建：负责制定、维护和推广运维服务质量管理体系、流程和模板。</w:t>
      </w:r>
    </w:p>
    <w:p w14:paraId="00BDD4A5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审计与检查：定期对运维流程的执行情况、记录完整性、SLA符合度进行审计和符合性检查。</w:t>
      </w:r>
    </w:p>
    <w:p w14:paraId="62FA2B3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度量与分析：定义关键绩效指标（KPI），收集和分析服务质量数据，编制质量分析报告。</w:t>
      </w:r>
    </w:p>
    <w:p w14:paraId="69D769E4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推动改进：组织质量评审会议，识别改进点，跟踪改进措施的实施情况和效果验证。</w:t>
      </w:r>
    </w:p>
    <w:p w14:paraId="040C479F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客户满意度调查：定期组织客户满意度调研，并分析反馈以驱动服务提升。</w:t>
      </w:r>
    </w:p>
    <w:p w14:paraId="158A3C16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9" w:name="_Toc30423"/>
      <w:r>
        <w:rPr>
          <w:rFonts w:hint="eastAsia"/>
          <w:lang w:val="en-US" w:eastAsia="zh-CN"/>
        </w:rPr>
        <w:t>综合办公室</w:t>
      </w:r>
      <w:bookmarkEnd w:id="9"/>
    </w:p>
    <w:p w14:paraId="17DF69A8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人员招聘与配置：根据平台运维组的能力需求，招聘和配置具备相应技能的人才。</w:t>
      </w:r>
    </w:p>
    <w:p w14:paraId="767D8C98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培训与发展：与平台运维组共同规划并组织实施专业技能、服务流程、质量管理等方面的培训。</w:t>
      </w:r>
    </w:p>
    <w:p w14:paraId="19EF43F1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绩效管理：将服务质量KPI（如客户满意度、SLA达成率）纳入运维团队的绩效考核体系。</w:t>
      </w:r>
    </w:p>
    <w:p w14:paraId="73221A2B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企业文化倡导：在公司内部倡导质量文化和客户服务文化。</w:t>
      </w:r>
    </w:p>
    <w:p w14:paraId="2946710B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0" w:name="_Toc14370"/>
      <w:r>
        <w:rPr>
          <w:rFonts w:hint="eastAsia"/>
          <w:lang w:val="en-US" w:eastAsia="zh-CN"/>
        </w:rPr>
        <w:t>采购部</w:t>
      </w:r>
      <w:bookmarkEnd w:id="10"/>
    </w:p>
    <w:p w14:paraId="689DEC49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供应商选择：在选择外部运维服务供应商（如硬件维保、云服务、外包服务）时，将服务质量承诺（SLA）作为核心评审条款。</w:t>
      </w:r>
    </w:p>
    <w:p w14:paraId="3C5D1AF0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合同管理：在合同中明确质量要求、惩罚条款和退出机制，并管理合同履行。</w:t>
      </w:r>
    </w:p>
    <w:p w14:paraId="6CF6CED9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供应商绩效管理： 定期协同平台运维组和管控部对供应商的服务质量进行评估和考核。</w:t>
      </w:r>
    </w:p>
    <w:p w14:paraId="10FC7A77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wordWrap/>
        <w:overflowPunct/>
        <w:bidi w:val="0"/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采购效率：保障运维所需硬件、软件采购的及时性，避免因物资不到位影响服务交付。</w:t>
      </w:r>
    </w:p>
    <w:p w14:paraId="41629222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1" w:name="_Toc31161"/>
      <w:r>
        <w:rPr>
          <w:rFonts w:hint="eastAsia"/>
          <w:lang w:val="en-US" w:eastAsia="zh-CN"/>
        </w:rPr>
        <w:t>研发组</w:t>
      </w:r>
      <w:bookmarkEnd w:id="11"/>
    </w:p>
    <w:p w14:paraId="600F1DAE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设计可运维系统：在系统架构与设计阶段，纳入可监控性、可维护性、高可用性等运维需求，避免单点故障，并与运维团队共同完成设计评审。</w:t>
      </w:r>
    </w:p>
    <w:p w14:paraId="17B30166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保障交付物质量：建立并遵守代码规范、单元测试与代码审查流程，确保提交代码的质量，减少因代码缺陷引发的线上故障，并提供详尽的技术文档。</w:t>
      </w:r>
    </w:p>
    <w:p w14:paraId="51082F20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协同变更与发布：遵循变更管理流程，协助运维团队编写和调试自动化部署脚本，提供明确的发布方案和回滚计划，确保发布可靠性。</w:t>
      </w:r>
    </w:p>
    <w:p w14:paraId="28F767FE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支持故障排查：在生产环境出现疑难故障时，提供必要的代码层面和技术层面的深入分析，积极配合运维团队快速定位并解决问题。</w:t>
      </w:r>
    </w:p>
    <w:p w14:paraId="1BEB4764">
      <w:pPr>
        <w:pStyle w:val="29"/>
        <w:keepNext w:val="0"/>
        <w:keepLines w:val="0"/>
        <w:pageBreakBefore w:val="0"/>
        <w:widowControl w:val="0"/>
        <w:numPr>
          <w:ilvl w:val="0"/>
          <w:numId w:val="7"/>
        </w:numPr>
        <w:wordWrap/>
        <w:overflowPunct/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构建监控能力： 在应用中集成监控探针，提供关键的性能指标和健康状态检查，与平台运维组共同定义有效的监控告警策略。</w:t>
      </w:r>
    </w:p>
    <w:p w14:paraId="3D3B5C07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2" w:name="_Toc27258"/>
      <w:r>
        <w:rPr>
          <w:rFonts w:hint="eastAsia"/>
          <w:lang w:val="en-US" w:eastAsia="zh-CN"/>
        </w:rPr>
        <w:t>质量计划实施</w:t>
      </w:r>
      <w:bookmarkEnd w:id="12"/>
    </w:p>
    <w:p w14:paraId="1F7420E7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3" w:name="_Toc26072"/>
      <w:r>
        <w:rPr>
          <w:rFonts w:hint="eastAsia"/>
          <w:lang w:val="en-US" w:eastAsia="zh-CN"/>
        </w:rPr>
        <w:t>运维服务质量保障总体活动</w:t>
      </w:r>
      <w:bookmarkEnd w:id="13"/>
    </w:p>
    <w:p w14:paraId="5DFEE5E2">
      <w:pPr>
        <w:pStyle w:val="29"/>
        <w:keepNext w:val="0"/>
        <w:keepLines w:val="0"/>
        <w:pageBreakBefore w:val="0"/>
        <w:widowControl w:val="0"/>
        <w:wordWrap/>
        <w:overflowPunct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5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-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 xml:space="preserve"> 运维服务质量保障表</w:t>
      </w:r>
    </w:p>
    <w:tbl>
      <w:tblPr>
        <w:tblStyle w:val="26"/>
        <w:tblW w:w="8452" w:type="dxa"/>
        <w:tblInd w:w="73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1"/>
        <w:gridCol w:w="3929"/>
        <w:gridCol w:w="2842"/>
      </w:tblGrid>
      <w:tr w14:paraId="5EBA193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681" w:type="dxa"/>
          </w:tcPr>
          <w:p w14:paraId="00C8A894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3" w:line="220" w:lineRule="auto"/>
              <w:ind w:left="370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4"/>
                <w:sz w:val="24"/>
                <w:szCs w:val="24"/>
              </w:rPr>
              <w:t>活动序号</w:t>
            </w:r>
          </w:p>
        </w:tc>
        <w:tc>
          <w:tcPr>
            <w:tcW w:w="3929" w:type="dxa"/>
          </w:tcPr>
          <w:p w14:paraId="7F754B2B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3" w:line="220" w:lineRule="auto"/>
              <w:ind w:left="173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7"/>
                <w:sz w:val="24"/>
                <w:szCs w:val="24"/>
              </w:rPr>
              <w:t>活动</w:t>
            </w:r>
          </w:p>
        </w:tc>
        <w:tc>
          <w:tcPr>
            <w:tcW w:w="2842" w:type="dxa"/>
          </w:tcPr>
          <w:p w14:paraId="47AB42C9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4" w:line="221" w:lineRule="auto"/>
              <w:ind w:left="119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1"/>
                <w:sz w:val="24"/>
                <w:szCs w:val="24"/>
              </w:rPr>
              <w:t>时间</w:t>
            </w:r>
          </w:p>
        </w:tc>
      </w:tr>
      <w:tr w14:paraId="0F8BDD4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81" w:type="dxa"/>
          </w:tcPr>
          <w:p w14:paraId="1AFB5A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wordWrap/>
              <w:overflowPunct/>
              <w:bidi w:val="0"/>
              <w:spacing w:before="269" w:line="241" w:lineRule="auto"/>
              <w:ind w:left="425" w:leftChars="0" w:hanging="425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6ED1A135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69" w:line="219" w:lineRule="auto"/>
              <w:ind w:left="113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运维服务能力体系</w:t>
            </w:r>
            <w:r>
              <w:rPr>
                <w:rFonts w:hint="eastAsia" w:ascii="宋体" w:hAnsi="宋体" w:cs="宋体"/>
                <w:spacing w:val="-1"/>
                <w:sz w:val="24"/>
                <w:szCs w:val="24"/>
                <w:lang w:val="en-US" w:eastAsia="zh-CN"/>
              </w:rPr>
              <w:t>内部审核</w:t>
            </w:r>
          </w:p>
        </w:tc>
        <w:tc>
          <w:tcPr>
            <w:tcW w:w="2842" w:type="dxa"/>
          </w:tcPr>
          <w:p w14:paraId="27C68C6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1" w:line="219" w:lineRule="auto"/>
              <w:ind w:left="117"/>
              <w:rPr>
                <w:rFonts w:ascii="宋体" w:hAnsi="宋体" w:eastAsia="宋体" w:cs="宋体"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2025年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</w:tc>
      </w:tr>
      <w:tr w14:paraId="7B12C6A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81" w:type="dxa"/>
          </w:tcPr>
          <w:p w14:paraId="1DD8DC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wordWrap/>
              <w:overflowPunct/>
              <w:bidi w:val="0"/>
              <w:spacing w:before="269" w:line="241" w:lineRule="auto"/>
              <w:ind w:left="425" w:leftChars="0" w:hanging="425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77EE4631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0" w:line="219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1"/>
                <w:sz w:val="24"/>
                <w:szCs w:val="24"/>
              </w:rPr>
              <w:t>运维服务能力体系管理评审</w:t>
            </w:r>
          </w:p>
        </w:tc>
        <w:tc>
          <w:tcPr>
            <w:tcW w:w="2842" w:type="dxa"/>
          </w:tcPr>
          <w:p w14:paraId="07FB6028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1" w:line="219" w:lineRule="auto"/>
              <w:ind w:left="117"/>
              <w:rPr>
                <w:rFonts w:ascii="宋体" w:hAnsi="宋体" w:eastAsia="宋体" w:cs="宋体"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</w:tc>
      </w:tr>
      <w:tr w14:paraId="33ADCC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81" w:type="dxa"/>
          </w:tcPr>
          <w:p w14:paraId="698BAD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wordWrap/>
              <w:overflowPunct/>
              <w:bidi w:val="0"/>
              <w:spacing w:before="269"/>
              <w:ind w:left="425" w:leftChars="0" w:hanging="425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35E74C1D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0" w:line="219" w:lineRule="auto"/>
              <w:ind w:left="113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2"/>
                <w:sz w:val="24"/>
                <w:szCs w:val="24"/>
              </w:rPr>
              <w:t>客户满意度调查与分析</w:t>
            </w:r>
          </w:p>
        </w:tc>
        <w:tc>
          <w:tcPr>
            <w:tcW w:w="2842" w:type="dxa"/>
          </w:tcPr>
          <w:p w14:paraId="0998DB16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1" w:line="219" w:lineRule="auto"/>
              <w:ind w:left="117"/>
              <w:rPr>
                <w:rFonts w:ascii="宋体" w:hAnsi="宋体" w:eastAsia="宋体" w:cs="宋体"/>
                <w:spacing w:val="-5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</w:tc>
      </w:tr>
      <w:tr w14:paraId="7621C8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681" w:type="dxa"/>
          </w:tcPr>
          <w:p w14:paraId="6D55466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wordWrap/>
              <w:overflowPunct/>
              <w:bidi w:val="0"/>
              <w:spacing w:before="270" w:line="241" w:lineRule="auto"/>
              <w:ind w:left="425" w:leftChars="0" w:hanging="425" w:firstLineChars="0"/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</w:p>
        </w:tc>
        <w:tc>
          <w:tcPr>
            <w:tcW w:w="3929" w:type="dxa"/>
          </w:tcPr>
          <w:p w14:paraId="4629401C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1" w:line="219" w:lineRule="auto"/>
              <w:ind w:left="115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服务质量改进</w:t>
            </w:r>
          </w:p>
        </w:tc>
        <w:tc>
          <w:tcPr>
            <w:tcW w:w="2842" w:type="dxa"/>
          </w:tcPr>
          <w:p w14:paraId="15F32FBF">
            <w:pPr>
              <w:keepNext w:val="0"/>
              <w:keepLines w:val="0"/>
              <w:pageBreakBefore w:val="0"/>
              <w:widowControl w:val="0"/>
              <w:wordWrap/>
              <w:overflowPunct/>
              <w:bidi w:val="0"/>
              <w:spacing w:before="271" w:line="219" w:lineRule="auto"/>
              <w:ind w:left="117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202</w:t>
            </w:r>
            <w:r>
              <w:rPr>
                <w:rFonts w:hint="eastAsia" w:ascii="宋体" w:hAnsi="宋体" w:eastAsia="宋体" w:cs="宋体"/>
                <w:spacing w:val="-5"/>
                <w:sz w:val="24"/>
                <w:szCs w:val="24"/>
                <w:lang w:val="en-US" w:eastAsia="zh-CN"/>
              </w:rPr>
              <w:t>5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年</w:t>
            </w:r>
            <w:r>
              <w:rPr>
                <w:rFonts w:hint="eastAsia" w:ascii="宋体" w:hAnsi="宋体" w:cs="宋体"/>
                <w:spacing w:val="-5"/>
                <w:sz w:val="24"/>
                <w:szCs w:val="24"/>
                <w:lang w:val="en-US" w:eastAsia="zh-CN"/>
              </w:rPr>
              <w:t>10</w:t>
            </w:r>
            <w:r>
              <w:rPr>
                <w:rFonts w:ascii="宋体" w:hAnsi="宋体" w:eastAsia="宋体" w:cs="宋体"/>
                <w:spacing w:val="-5"/>
                <w:sz w:val="24"/>
                <w:szCs w:val="24"/>
              </w:rPr>
              <w:t>月</w:t>
            </w:r>
          </w:p>
        </w:tc>
      </w:tr>
    </w:tbl>
    <w:p w14:paraId="395CC8EB">
      <w:pPr>
        <w:rPr>
          <w:rFonts w:hint="default"/>
          <w:lang w:val="en-US" w:eastAsia="zh-CN"/>
        </w:rPr>
      </w:pPr>
      <w:bookmarkStart w:id="14" w:name="_Toc82"/>
      <w:r>
        <w:rPr>
          <w:rFonts w:hint="default"/>
          <w:lang w:val="en-US" w:eastAsia="zh-CN"/>
        </w:rPr>
        <w:br w:type="page"/>
      </w:r>
    </w:p>
    <w:p w14:paraId="217893C2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运维服务能力体系内部审核</w:t>
      </w:r>
      <w:bookmarkEnd w:id="14"/>
    </w:p>
    <w:p w14:paraId="13C1137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为系统评估公司ITSS运维服务能力管理体系的运行效能，本年度计划2025年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月由</w:t>
      </w:r>
      <w:r>
        <w:rPr>
          <w:rFonts w:hint="eastAsia"/>
          <w:lang w:val="en-US" w:eastAsia="zh-CN"/>
        </w:rPr>
        <w:t>管控部</w:t>
      </w:r>
      <w:r>
        <w:rPr>
          <w:rFonts w:hint="default"/>
          <w:lang w:val="en-US" w:eastAsia="zh-CN"/>
        </w:rPr>
        <w:t>牵头组织开展运维管理体系内部审核工作。参与部门包括平台运维组、</w:t>
      </w:r>
      <w:r>
        <w:rPr>
          <w:rFonts w:hint="eastAsia"/>
          <w:lang w:val="en-US" w:eastAsia="zh-CN"/>
        </w:rPr>
        <w:t>综合办公室</w:t>
      </w:r>
      <w:r>
        <w:rPr>
          <w:rFonts w:hint="default"/>
          <w:lang w:val="en-US" w:eastAsia="zh-CN"/>
        </w:rPr>
        <w:t>、</w:t>
      </w:r>
      <w:r>
        <w:rPr>
          <w:rFonts w:hint="eastAsia"/>
          <w:lang w:val="en-US" w:eastAsia="zh-CN"/>
        </w:rPr>
        <w:t>研发组和采购部</w:t>
      </w:r>
      <w:r>
        <w:rPr>
          <w:rFonts w:hint="default"/>
          <w:lang w:val="en-US" w:eastAsia="zh-CN"/>
        </w:rPr>
        <w:t>等核心职能</w:t>
      </w:r>
      <w:r>
        <w:rPr>
          <w:rFonts w:hint="eastAsia"/>
          <w:lang w:val="en-US" w:eastAsia="zh-CN"/>
        </w:rPr>
        <w:t>部门</w:t>
      </w:r>
      <w:r>
        <w:rPr>
          <w:rFonts w:hint="default"/>
          <w:lang w:val="en-US" w:eastAsia="zh-CN"/>
        </w:rPr>
        <w:t>。本次内审将基于体系文件要求，通过抽样审查过程记录、与相关人员访谈等方式，全面检验运维服务活动的符合性与有效性，旨在确认现有管理体系是否与公司实际运营需求相适应，并为后续体系优化提供依据。</w:t>
      </w:r>
    </w:p>
    <w:p w14:paraId="5218E7A5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5" w:name="_Toc27350"/>
      <w:r>
        <w:rPr>
          <w:rFonts w:hint="default"/>
          <w:lang w:val="en-US" w:eastAsia="zh-CN"/>
        </w:rPr>
        <w:t>运维服务能力管理评审</w:t>
      </w:r>
      <w:bookmarkEnd w:id="15"/>
    </w:p>
    <w:p w14:paraId="77FF16DA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公司定于2025年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月在同一月度内完成内部审核后，组织运维服务能力管理评审会议。该评审由</w:t>
      </w:r>
      <w:r>
        <w:rPr>
          <w:rFonts w:hint="eastAsia"/>
          <w:lang w:val="en-US" w:eastAsia="zh-CN"/>
        </w:rPr>
        <w:t>管控部</w:t>
      </w:r>
      <w:r>
        <w:rPr>
          <w:rFonts w:hint="default"/>
          <w:lang w:val="en-US" w:eastAsia="zh-CN"/>
        </w:rPr>
        <w:t>统筹组织，与会人员包括</w:t>
      </w:r>
      <w:r>
        <w:rPr>
          <w:rFonts w:hint="eastAsia"/>
          <w:lang w:val="en-US" w:eastAsia="zh-CN"/>
        </w:rPr>
        <w:t>管控部</w:t>
      </w:r>
      <w:r>
        <w:rPr>
          <w:rFonts w:hint="default"/>
          <w:lang w:val="en-US" w:eastAsia="zh-CN"/>
        </w:rPr>
        <w:t>及各下属部门核心成员、平台运维组及其下属各团队负责人。评审将围绕人员能力、资源配备、过程实施、技术应用、应急响应与交付质量等关键维度，结合内审结果及各部门所提交的体系改进建议，对运维服务管理体系的适宜性、充分性和有效性进行综合评价，最终形成体系调整与改进决策。</w:t>
      </w:r>
    </w:p>
    <w:p w14:paraId="70E7F0F1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16" w:name="_Toc7776"/>
      <w:r>
        <w:rPr>
          <w:rFonts w:hint="eastAsia"/>
          <w:lang w:val="en-US" w:eastAsia="zh-CN"/>
        </w:rPr>
        <w:t>客户满意度调查与分析</w:t>
      </w:r>
      <w:bookmarkEnd w:id="16"/>
    </w:p>
    <w:p w14:paraId="77EACE17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为持续提升运维服务质量，公司计划建立年度客户满意度调查机制，由</w:t>
      </w:r>
      <w:r>
        <w:rPr>
          <w:rFonts w:hint="eastAsia"/>
          <w:lang w:val="en-US" w:eastAsia="zh-CN"/>
        </w:rPr>
        <w:t>管控部</w:t>
      </w:r>
      <w:r>
        <w:rPr>
          <w:rFonts w:hint="default"/>
          <w:lang w:val="en-US" w:eastAsia="zh-CN"/>
        </w:rPr>
        <w:t>牵头组织各相关部门共同实施。</w:t>
      </w:r>
      <w:r>
        <w:rPr>
          <w:rFonts w:hint="eastAsia"/>
          <w:lang w:val="en-US" w:eastAsia="zh-CN"/>
        </w:rPr>
        <w:t>管控部</w:t>
      </w:r>
      <w:r>
        <w:rPr>
          <w:rFonts w:hint="default"/>
          <w:lang w:val="en-US" w:eastAsia="zh-CN"/>
        </w:rPr>
        <w:t>将负责制定详细的满意度调查工作方案及配套调查表，从多个维度系统收集用户对公司运维服务工作的意见与建议。调查范围将全面覆盖公司当前所有运维项目，并以电话回访为主要方式，重点面向基层用户开展。</w:t>
      </w:r>
    </w:p>
    <w:p w14:paraId="526E0CEB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调查所获得的反馈结果，将采用量化打分方式评估各项目在各维度的客户满意度表现，并从横向（不同维度、与既定指标对比等）对调查数据进行分析，识别存在的问题与短板，进而提出有针对性的改进建议，为服务优化提供依据。</w:t>
      </w:r>
    </w:p>
    <w:p w14:paraId="0345B56E">
      <w:pPr>
        <w:pStyle w:val="30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17" w:name="_Toc1969"/>
      <w:r>
        <w:rPr>
          <w:rFonts w:hint="eastAsia"/>
          <w:lang w:val="en-US" w:eastAsia="zh-CN"/>
        </w:rPr>
        <w:t>服务质量改进</w:t>
      </w:r>
      <w:bookmarkEnd w:id="17"/>
    </w:p>
    <w:p w14:paraId="34656E6E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t>由管控部与平台运维组协同负责，并协同各相关部门，通过数据驱动、流程优化和持续跟踪的闭环管理机制，旨在系统性提升服务水准、预防问题复发并确保改进成效得以固化的持续过程。</w:t>
      </w:r>
    </w:p>
    <w:p w14:paraId="3FDB7494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Style w:val="38"/>
          <w:rFonts w:hint="default" w:eastAsia="宋体"/>
          <w:lang w:val="en-US" w:eastAsia="zh-CN"/>
        </w:rPr>
      </w:pPr>
      <w:bookmarkStart w:id="18" w:name="bookmark3"/>
      <w:bookmarkEnd w:id="18"/>
      <w:bookmarkStart w:id="19" w:name="_Toc26720"/>
      <w:bookmarkStart w:id="20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9"/>
      <w:bookmarkEnd w:id="20"/>
    </w:p>
    <w:p w14:paraId="3C7AA6CD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管控部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619C2F82">
      <w:pPr>
        <w:keepNext w:val="0"/>
        <w:keepLines w:val="0"/>
        <w:pageBreakBefore w:val="0"/>
        <w:widowControl w:val="0"/>
        <w:numPr>
          <w:ilvl w:val="0"/>
          <w:numId w:val="9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6351DFE4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bookmarkStart w:id="21" w:name="bookmark14"/>
      <w:bookmarkEnd w:id="21"/>
      <w:bookmarkStart w:id="22" w:name="_Toc14110"/>
      <w:bookmarkStart w:id="23" w:name="_Toc27093"/>
      <w:r>
        <w:rPr>
          <w:rFonts w:hint="eastAsia"/>
          <w:lang w:val="en-US" w:eastAsia="zh-CN"/>
        </w:rPr>
        <w:t>附件</w:t>
      </w:r>
      <w:bookmarkEnd w:id="22"/>
      <w:bookmarkEnd w:id="23"/>
    </w:p>
    <w:p w14:paraId="0CEBA6DC">
      <w:pPr>
        <w:pStyle w:val="29"/>
        <w:keepNext w:val="0"/>
        <w:keepLines w:val="0"/>
        <w:pageBreakBefore w:val="0"/>
        <w:widowControl w:val="0"/>
        <w:wordWrap/>
        <w:overflowPunct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308E26E6">
      <w:pPr>
        <w:pStyle w:val="28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bookmarkStart w:id="24" w:name="_Toc25718"/>
      <w:r>
        <w:rPr>
          <w:rFonts w:hint="eastAsia"/>
          <w:lang w:val="en-US" w:eastAsia="zh-CN"/>
        </w:rPr>
        <w:t>记录</w:t>
      </w:r>
      <w:bookmarkEnd w:id="24"/>
    </w:p>
    <w:p w14:paraId="10CA83A1">
      <w:pPr>
        <w:pStyle w:val="3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《满意度调查报告》</w:t>
      </w:r>
    </w:p>
    <w:p w14:paraId="09807FAC">
      <w:pPr>
        <w:pStyle w:val="3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《内部审核报告》</w:t>
      </w:r>
    </w:p>
    <w:p w14:paraId="289CA4DC">
      <w:pPr>
        <w:pStyle w:val="39"/>
        <w:keepNext w:val="0"/>
        <w:keepLines w:val="0"/>
        <w:pageBreakBefore w:val="0"/>
        <w:widowControl w:val="0"/>
        <w:wordWrap/>
        <w:overflowPunct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《管理评审报告》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3B8DC6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t>青岛瑞源工程集团有限公司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8FAC864A"/>
    <w:multiLevelType w:val="singleLevel"/>
    <w:tmpl w:val="8FAC864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A4D33CBA"/>
    <w:multiLevelType w:val="singleLevel"/>
    <w:tmpl w:val="A4D33C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2C2E3BA"/>
    <w:multiLevelType w:val="singleLevel"/>
    <w:tmpl w:val="C2C2E3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0627E5D4"/>
    <w:multiLevelType w:val="singleLevel"/>
    <w:tmpl w:val="0627E5D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4DB530BB"/>
    <w:multiLevelType w:val="singleLevel"/>
    <w:tmpl w:val="4DB530BB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7B1FA20"/>
    <w:multiLevelType w:val="singleLevel"/>
    <w:tmpl w:val="67B1FA2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74A190C4"/>
    <w:multiLevelType w:val="singleLevel"/>
    <w:tmpl w:val="74A190C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8"/>
  </w:num>
  <w:num w:numId="4">
    <w:abstractNumId w:val="6"/>
  </w:num>
  <w:num w:numId="5">
    <w:abstractNumId w:val="5"/>
  </w:num>
  <w:num w:numId="6">
    <w:abstractNumId w:val="3"/>
  </w:num>
  <w:num w:numId="7">
    <w:abstractNumId w:val="1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3056193"/>
    <w:rsid w:val="055549AA"/>
    <w:rsid w:val="09E57B43"/>
    <w:rsid w:val="0F3B1FB3"/>
    <w:rsid w:val="105E23FD"/>
    <w:rsid w:val="111D4CDB"/>
    <w:rsid w:val="1D226EEA"/>
    <w:rsid w:val="20F74CC6"/>
    <w:rsid w:val="25720F59"/>
    <w:rsid w:val="25BB3331"/>
    <w:rsid w:val="2B2A31B0"/>
    <w:rsid w:val="341744ED"/>
    <w:rsid w:val="37142CBE"/>
    <w:rsid w:val="37F23808"/>
    <w:rsid w:val="38871C41"/>
    <w:rsid w:val="39D92970"/>
    <w:rsid w:val="3C4758CA"/>
    <w:rsid w:val="3C5C33E5"/>
    <w:rsid w:val="3EFC2C5D"/>
    <w:rsid w:val="42576B28"/>
    <w:rsid w:val="447C0AC8"/>
    <w:rsid w:val="4970227E"/>
    <w:rsid w:val="58D81BED"/>
    <w:rsid w:val="5EDB41E5"/>
    <w:rsid w:val="5F9C5723"/>
    <w:rsid w:val="60175B80"/>
    <w:rsid w:val="6028345A"/>
    <w:rsid w:val="64237999"/>
    <w:rsid w:val="64EB7B44"/>
    <w:rsid w:val="658F028F"/>
    <w:rsid w:val="6CC4450B"/>
    <w:rsid w:val="777C6FD7"/>
    <w:rsid w:val="79F24465"/>
    <w:rsid w:val="7B000E04"/>
    <w:rsid w:val="7E6802F1"/>
    <w:rsid w:val="7EB70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1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paragraph" w:customStyle="1" w:styleId="39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0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1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2528</Words>
  <Characters>2677</Characters>
  <Lines>0</Lines>
  <Paragraphs>0</Paragraphs>
  <TotalTime>1</TotalTime>
  <ScaleCrop>false</ScaleCrop>
  <LinksUpToDate>false</LinksUpToDate>
  <CharactersWithSpaces>2761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2025-12-25T17:35:15Z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