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2CC98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77C30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B6F8E46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15100"/>
      <w:r>
        <w:rPr>
          <w:rFonts w:hint="eastAsia"/>
          <w:lang w:val="en-US" w:eastAsia="zh-CN"/>
        </w:rPr>
        <w:t>青岛瑞源工程集团有限公司</w:t>
      </w:r>
      <w:bookmarkEnd w:id="0"/>
    </w:p>
    <w:p w14:paraId="1BC7D646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4648"/>
      <w:r>
        <w:rPr>
          <w:rFonts w:hint="eastAsia"/>
          <w:lang w:val="en-US" w:eastAsia="zh-CN"/>
        </w:rPr>
        <w:t>过程框架设计管理制度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8F50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41A9B8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3A36E08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F729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6F3DF4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07126360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07126360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3F22E1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95D0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3A3AB9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C61B74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556BDDD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83EA316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98A6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93A778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EF9D1E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6DCA5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47A0FD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17AE9B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2B821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24D6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C44C2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51D5712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CD7A0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6ADD3B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2A74323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bookmarkStart w:id="28" w:name="_GoBack"/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394869916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394869916"/>
                <w:lang w:val="en-US" w:eastAsia="zh-CN"/>
              </w:rPr>
              <w:t>振</w:t>
            </w:r>
            <w:bookmarkEnd w:id="28"/>
          </w:p>
        </w:tc>
        <w:tc>
          <w:tcPr>
            <w:tcW w:w="1240" w:type="dxa"/>
          </w:tcPr>
          <w:p w14:paraId="71DB669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FEF04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3A08C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06730D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62A280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74C200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79C158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3C4F9D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F5EEC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7E6390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B53C25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008660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05BC30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8F5E54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4F93D7C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E03B7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8262D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E3FB8D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FC8B55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CC75A1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007ED0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18E425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329B58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407636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2EA155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CA6FCE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336AB7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B33B45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A1F777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CB67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F2D5E2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0DC8E4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26F10F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9D3C81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75DE85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C3E96A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0A5BD981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E680332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C4407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_Toc15100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06D6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_Toc24648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53CB0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_Toc16244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CDAF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_Toc19186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3D6C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_Toc11083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D852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8E61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_Toc4510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28F4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_Toc19710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86347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过程框架设计流程</w:t>
          </w:r>
          <w:r>
            <w:tab/>
          </w:r>
          <w:r>
            <w:fldChar w:fldCharType="begin"/>
          </w:r>
          <w:r>
            <w:instrText xml:space="preserve"> PAGEREF _Toc8570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AFF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  <w:lang w:val="en-US" w:eastAsia="zh-CN"/>
            </w:rPr>
            <w:t>过程框架</w:t>
          </w:r>
          <w:r>
            <w:t>规划与设计</w:t>
          </w:r>
          <w:r>
            <w:tab/>
          </w:r>
          <w:r>
            <w:fldChar w:fldCharType="begin"/>
          </w:r>
          <w:r>
            <w:instrText xml:space="preserve"> PAGEREF _Toc16102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701F2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_Toc18962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5827B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_Toc8845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63F4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服务部署与实施</w:t>
          </w:r>
          <w:r>
            <w:tab/>
          </w:r>
          <w:r>
            <w:fldChar w:fldCharType="begin"/>
          </w:r>
          <w:r>
            <w:instrText xml:space="preserve"> PAGEREF _Toc32306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601B3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_Toc435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ADB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_Toc8914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4A5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服务运营与管理</w:t>
          </w:r>
          <w:r>
            <w:tab/>
          </w:r>
          <w:r>
            <w:fldChar w:fldCharType="begin"/>
          </w:r>
          <w:r>
            <w:instrText xml:space="preserve"> PAGEREF _Toc12222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1F66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_Toc7829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77EC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_Toc7660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E243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服务监控与改进</w:t>
          </w:r>
          <w:r>
            <w:tab/>
          </w:r>
          <w:r>
            <w:fldChar w:fldCharType="begin"/>
          </w:r>
          <w:r>
            <w:instrText xml:space="preserve"> PAGEREF _Toc22078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AA90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5.4.1. </w:t>
          </w:r>
          <w:r>
            <w:rPr>
              <w:rFonts w:hint="eastAsia"/>
              <w:lang w:val="en-US" w:eastAsia="zh-CN"/>
            </w:rPr>
            <w:t>主要活动</w:t>
          </w:r>
          <w:r>
            <w:tab/>
          </w:r>
          <w:r>
            <w:fldChar w:fldCharType="begin"/>
          </w:r>
          <w:r>
            <w:instrText xml:space="preserve"> PAGEREF _Toc31862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7F2D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rPr>
              <w:rFonts w:hint="eastAsia"/>
              <w:lang w:val="en-US" w:eastAsia="zh-CN"/>
            </w:rPr>
            <w:t>输出结果</w:t>
          </w:r>
          <w:r>
            <w:tab/>
          </w:r>
          <w:r>
            <w:fldChar w:fldCharType="begin"/>
          </w:r>
          <w:r>
            <w:instrText xml:space="preserve"> PAGEREF _Toc1467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4B07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过程框架考核指标</w:t>
          </w:r>
          <w:r>
            <w:tab/>
          </w:r>
          <w:r>
            <w:fldChar w:fldCharType="begin"/>
          </w:r>
          <w:r>
            <w:instrText xml:space="preserve"> PAGEREF _Toc31187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E229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06E7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2E7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_Toc7437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9BEB3E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A8C5A88">
      <w:r>
        <w:br w:type="page"/>
      </w:r>
    </w:p>
    <w:p w14:paraId="0DE5BCB6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6244"/>
      <w:r>
        <w:t>目的</w:t>
      </w:r>
      <w:bookmarkEnd w:id="2"/>
    </w:p>
    <w:p w14:paraId="42CAE0A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 w:eastAsia="宋体"/>
          <w:lang w:val="en-US" w:eastAsia="zh-CN"/>
        </w:rPr>
      </w:pPr>
      <w:r>
        <w:t>为规范公司</w:t>
      </w:r>
      <w:r>
        <w:rPr>
          <w:rFonts w:hint="eastAsia"/>
          <w:lang w:val="en-US" w:eastAsia="zh-CN"/>
        </w:rPr>
        <w:t>运维</w:t>
      </w:r>
      <w:r>
        <w:t>服务管理，确保运维服务过程符合ITSS（信息技术服务标准）要求，提高运维服务质量和效率，降低运维风险，特制定本</w:t>
      </w:r>
      <w:r>
        <w:rPr>
          <w:rFonts w:hint="eastAsia"/>
          <w:lang w:val="en-US" w:eastAsia="zh-CN"/>
        </w:rPr>
        <w:t>制度。</w:t>
      </w:r>
    </w:p>
    <w:p w14:paraId="522B7926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9186"/>
      <w:r>
        <w:rPr>
          <w:rFonts w:hint="eastAsia"/>
          <w:lang w:val="en-US" w:eastAsia="zh-CN"/>
        </w:rPr>
        <w:t>原则</w:t>
      </w:r>
      <w:bookmarkEnd w:id="3"/>
    </w:p>
    <w:p w14:paraId="54ABB5D6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以客户需求为中心、以流程为导向的原则，强调服务战略、实施、运营和持续改进的全生命周期协同，并通过人员、资源</w:t>
      </w:r>
      <w:r>
        <w:rPr>
          <w:rFonts w:hint="eastAsia"/>
          <w:lang w:eastAsia="zh-CN"/>
        </w:rPr>
        <w:t>、</w:t>
      </w:r>
      <w:r>
        <w:t>、技术</w:t>
      </w:r>
      <w:r>
        <w:rPr>
          <w:rFonts w:hint="eastAsia"/>
          <w:lang w:eastAsia="zh-CN"/>
        </w:rPr>
        <w:t>、</w:t>
      </w:r>
      <w:r>
        <w:t>过程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应急管理和交付管理</w:t>
      </w:r>
      <w:r>
        <w:t>的有效整合，</w:t>
      </w:r>
      <w:r>
        <w:rPr>
          <w:rFonts w:hint="eastAsia"/>
          <w:lang w:val="en-US" w:eastAsia="zh-CN"/>
        </w:rPr>
        <w:t>制定规范合理的应急制度和策略，</w:t>
      </w:r>
      <w:r>
        <w:t>确保运维服务管理的系统性、规范性和可测量性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实现保质保量进行交付</w:t>
      </w:r>
      <w:r>
        <w:t>。</w:t>
      </w:r>
    </w:p>
    <w:p w14:paraId="7FAA739B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10983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6FBC2AC7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本制度适用于公司内部所有与IT运维服务相关的部门、人员以及涉及的IT系统和服务流程。</w:t>
      </w:r>
    </w:p>
    <w:p w14:paraId="76DC29CF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9308"/>
      <w:r>
        <w:rPr>
          <w:rFonts w:hint="eastAsia"/>
          <w:lang w:val="en-US" w:eastAsia="zh-CN"/>
        </w:rPr>
        <w:t>岗位职责</w:t>
      </w:r>
      <w:bookmarkEnd w:id="5"/>
    </w:p>
    <w:p w14:paraId="293DBCBD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4509"/>
      <w:r>
        <w:rPr>
          <w:rFonts w:hint="eastAsia"/>
          <w:lang w:val="en-US" w:eastAsia="zh-CN"/>
        </w:rPr>
        <w:t>平台运维组</w:t>
      </w:r>
      <w:bookmarkEnd w:id="6"/>
    </w:p>
    <w:p w14:paraId="103A1302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负责制定和完善运维服务过程框架设计管理制度。</w:t>
      </w:r>
    </w:p>
    <w:p w14:paraId="3267E695">
      <w:pPr>
        <w:pStyle w:val="3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组织开展服务规划与设计、服务部署与实施、服务运营与管理、服务监控与改进等活动。</w:t>
      </w:r>
    </w:p>
    <w:p w14:paraId="238F698E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19708"/>
      <w:r>
        <w:rPr>
          <w:rFonts w:hint="eastAsia"/>
          <w:lang w:val="en-US" w:eastAsia="zh-CN"/>
        </w:rPr>
        <w:t>其他运维相关部门</w:t>
      </w:r>
      <w:bookmarkEnd w:id="7"/>
    </w:p>
    <w:p w14:paraId="40088E46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提供业务需求信息，协助进行业务需求分析。</w:t>
      </w:r>
    </w:p>
    <w:p w14:paraId="4C144817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参与服务级别协议的制定和评审，确保服务能够满足业务需求。</w:t>
      </w:r>
    </w:p>
    <w:p w14:paraId="5E4C5DC3">
      <w:pPr>
        <w:pStyle w:val="3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及时反馈服务过程中存在的问题和建议，协助进行服务改进。</w:t>
      </w:r>
    </w:p>
    <w:p w14:paraId="72960548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8570"/>
      <w:r>
        <w:rPr>
          <w:rFonts w:hint="eastAsia"/>
          <w:lang w:val="en-US" w:eastAsia="zh-CN"/>
        </w:rPr>
        <w:t>过程框架设计流程</w:t>
      </w:r>
      <w:bookmarkEnd w:id="8"/>
    </w:p>
    <w:p w14:paraId="25139D31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9" w:name="_Toc16092"/>
      <w:r>
        <w:rPr>
          <w:rFonts w:hint="eastAsia"/>
          <w:lang w:val="en-US" w:eastAsia="zh-CN"/>
        </w:rPr>
        <w:t>过程框架</w:t>
      </w:r>
      <w:r>
        <w:t>规划与设计</w:t>
      </w:r>
      <w:bookmarkEnd w:id="9"/>
    </w:p>
    <w:p w14:paraId="7376E961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18962"/>
      <w:r>
        <w:rPr>
          <w:rFonts w:hint="eastAsia"/>
          <w:lang w:val="en-US" w:eastAsia="zh-CN"/>
        </w:rPr>
        <w:t>主要活动</w:t>
      </w:r>
      <w:bookmarkEnd w:id="10"/>
    </w:p>
    <w:p w14:paraId="0ADE2EA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val="en-US" w:eastAsia="zh-CN"/>
        </w:rPr>
      </w:pPr>
      <w:r>
        <w:t>分析业务需求，明确系统在功能、性能及可用性等方面的要求；据此制定运维服务目标、范围与策略，设计包括组织、流程、技术及资源在内的服务架构，并编制服务级别协议（SLA），明确服务质量标准、服务范围、响应与解决时间等关键指标</w:t>
      </w:r>
      <w:r>
        <w:rPr>
          <w:rFonts w:hint="eastAsia"/>
          <w:lang w:eastAsia="zh-CN"/>
        </w:rPr>
        <w:t>。</w:t>
      </w:r>
    </w:p>
    <w:p w14:paraId="0FC5DDF4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1" w:name="_Toc8845"/>
      <w:r>
        <w:rPr>
          <w:rFonts w:hint="eastAsia"/>
          <w:lang w:val="en-US" w:eastAsia="zh-CN"/>
        </w:rPr>
        <w:t>输出结果</w:t>
      </w:r>
      <w:bookmarkEnd w:id="11"/>
    </w:p>
    <w:p w14:paraId="1E05E999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业务需求分析报告、IT运维服务战略规划书、运维服务架构设计方案及服务级别协议等。</w:t>
      </w:r>
    </w:p>
    <w:p w14:paraId="13C9C07B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2" w:name="_Toc32306"/>
      <w:r>
        <w:t>服务部署与实施</w:t>
      </w:r>
      <w:bookmarkEnd w:id="12"/>
    </w:p>
    <w:p w14:paraId="1450809E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435"/>
      <w:r>
        <w:rPr>
          <w:rFonts w:hint="eastAsia"/>
          <w:lang w:val="en-US" w:eastAsia="zh-CN"/>
        </w:rPr>
        <w:t>主要活动</w:t>
      </w:r>
      <w:bookmarkEnd w:id="13"/>
    </w:p>
    <w:p w14:paraId="0164AEE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组建专业的运维服务团队，明确各成员的职责与分工边界。</w:t>
      </w:r>
      <w:r>
        <w:rPr>
          <w:rFonts w:hint="default"/>
        </w:rPr>
        <w:t>部署运维服务所需的技术工具与平台系统，包括监控工具、</w:t>
      </w:r>
      <w:r>
        <w:rPr>
          <w:rFonts w:hint="eastAsia"/>
          <w:lang w:val="en-US" w:eastAsia="zh-CN"/>
        </w:rPr>
        <w:t>过程</w:t>
      </w:r>
      <w:r>
        <w:rPr>
          <w:rFonts w:hint="default"/>
        </w:rPr>
        <w:t>管理工具、配置管理工具等。</w:t>
      </w:r>
      <w:r>
        <w:rPr>
          <w:rFonts w:hint="default"/>
        </w:rPr>
        <w:br w:type="textWrapping"/>
      </w:r>
      <w:r>
        <w:rPr>
          <w:rFonts w:hint="default"/>
        </w:rPr>
        <w:t>制定运维服务流程的标准化操作规范与指导手册，并组织团队成员进行系统培训，确保其能够熟练掌握流程及相关工具的使用方法。实施服务资源的统一配置与管理，涵盖硬件设备、软件系统及网络资源等方面</w:t>
      </w:r>
    </w:p>
    <w:p w14:paraId="5721F2B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8914"/>
      <w:r>
        <w:rPr>
          <w:rFonts w:hint="eastAsia"/>
          <w:lang w:val="en-US" w:eastAsia="zh-CN"/>
        </w:rPr>
        <w:t>输出结果</w:t>
      </w:r>
      <w:bookmarkEnd w:id="14"/>
    </w:p>
    <w:p w14:paraId="35FE2064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运维服务团队组建方案、技术工具部署报告、流程操作规范和指导书、服务资源配置清单等。</w:t>
      </w:r>
    </w:p>
    <w:p w14:paraId="123C3CF1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5" w:name="_Toc12222"/>
      <w:r>
        <w:t>服务运营与管理</w:t>
      </w:r>
      <w:bookmarkEnd w:id="15"/>
    </w:p>
    <w:p w14:paraId="55442EE7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6" w:name="_Toc7829"/>
      <w:r>
        <w:rPr>
          <w:rFonts w:hint="eastAsia"/>
          <w:lang w:val="en-US" w:eastAsia="zh-CN"/>
        </w:rPr>
        <w:t>主要活动</w:t>
      </w:r>
      <w:bookmarkEnd w:id="16"/>
    </w:p>
    <w:p w14:paraId="122B7862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开展日常运维操作，包括系统巡检、故障处理、补丁管理及配置管理等工作。</w:t>
      </w:r>
      <w:r>
        <w:rPr>
          <w:rFonts w:hint="default"/>
        </w:rPr>
        <w:t>高效响应服务请求，并依据服务级别协议（SLA）的要求，及时处理用户提交的各类服务申请。负责服务协调与沟通工作，与内部业务部门、外部供应商等保持良好协作，推动服务过程中出现的问题及时解决。管理服务合同与供应商，确保其能够按合同约定持续提供符合质量要求的服务。</w:t>
      </w:r>
    </w:p>
    <w:p w14:paraId="2761B9B0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7660"/>
      <w:r>
        <w:rPr>
          <w:rFonts w:hint="eastAsia"/>
          <w:lang w:val="en-US" w:eastAsia="zh-CN"/>
        </w:rPr>
        <w:t>输出结果</w:t>
      </w:r>
      <w:bookmarkEnd w:id="17"/>
    </w:p>
    <w:p w14:paraId="7F0A7739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日常运维操作记录、故障处理报告、服务请求处理记录、服务合同管理报告</w:t>
      </w:r>
    </w:p>
    <w:p w14:paraId="60800E7A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8" w:name="_Toc22078"/>
      <w:r>
        <w:t>服务监控与改进</w:t>
      </w:r>
      <w:bookmarkEnd w:id="18"/>
    </w:p>
    <w:p w14:paraId="28EEEBDA">
      <w:pPr>
        <w:pStyle w:val="31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9" w:name="_Toc31862"/>
      <w:r>
        <w:rPr>
          <w:rFonts w:hint="eastAsia"/>
          <w:lang w:val="en-US" w:eastAsia="zh-CN"/>
        </w:rPr>
        <w:t>主要活动</w:t>
      </w:r>
      <w:bookmarkEnd w:id="19"/>
    </w:p>
    <w:p w14:paraId="0DC12E00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建立服务监控指标体系，对服务质量、性能、可用性及安全性等关键方面实施全面监控。</w:t>
      </w:r>
      <w:r>
        <w:rPr>
          <w:rFonts w:hint="default"/>
        </w:rPr>
        <w:t>持续收集并分析服务监控数据，定期生成监控报告，以及时发现服务过程中存在的问题与潜在趋势。组织定期服务评审与改进活动，针对服务中的不足制定改进计划，并跟踪其落实与执行情况。定期评估服务级别协议（SLA）的执行效果，并根据业务需求变化适时调整，确保服务持续符合业务期望。</w:t>
      </w:r>
    </w:p>
    <w:p w14:paraId="316B7766">
      <w:pPr>
        <w:pStyle w:val="31"/>
        <w:keepNext w:val="0"/>
        <w:keepLines w:val="0"/>
        <w:pageBreakBefore w:val="0"/>
        <w:widowControl w:val="0"/>
        <w:wordWrap/>
        <w:overflowPunct/>
        <w:bidi w:val="0"/>
      </w:pPr>
      <w:bookmarkStart w:id="20" w:name="_Toc1467"/>
      <w:r>
        <w:rPr>
          <w:rFonts w:hint="eastAsia"/>
          <w:lang w:val="en-US" w:eastAsia="zh-CN"/>
        </w:rPr>
        <w:t>输出结果</w:t>
      </w:r>
      <w:bookmarkEnd w:id="20"/>
    </w:p>
    <w:p w14:paraId="26044D32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服务监控指标体系、服务监控报告、服务改进计划、服务级别协议评估报告等。</w:t>
      </w:r>
    </w:p>
    <w:p w14:paraId="717592F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1" w:name="_Toc31187"/>
      <w:r>
        <w:rPr>
          <w:rFonts w:hint="eastAsia"/>
          <w:lang w:val="en-US" w:eastAsia="zh-CN"/>
        </w:rPr>
        <w:t>过程框架考核指标</w:t>
      </w:r>
      <w:bookmarkEnd w:id="21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1087"/>
        <w:gridCol w:w="3069"/>
        <w:gridCol w:w="1193"/>
      </w:tblGrid>
      <w:tr w14:paraId="6178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73" w:type="dxa"/>
            <w:shd w:val="clear" w:color="auto" w:fill="auto"/>
            <w:vAlign w:val="center"/>
          </w:tcPr>
          <w:p w14:paraId="33407F1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1087" w:type="dxa"/>
            <w:shd w:val="clear" w:color="auto" w:fill="auto"/>
            <w:vAlign w:val="center"/>
          </w:tcPr>
          <w:p w14:paraId="719C85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3069" w:type="dxa"/>
            <w:shd w:val="clear" w:color="auto" w:fill="auto"/>
            <w:vAlign w:val="center"/>
          </w:tcPr>
          <w:p w14:paraId="5B32F25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计算公式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2F18F4C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30C0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173" w:type="dxa"/>
            <w:shd w:val="clear" w:color="auto" w:fill="auto"/>
          </w:tcPr>
          <w:p w14:paraId="72A252A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过程框架设计与服务需求的匹配率</w:t>
            </w:r>
          </w:p>
        </w:tc>
        <w:tc>
          <w:tcPr>
            <w:tcW w:w="1087" w:type="dxa"/>
            <w:shd w:val="clear" w:color="auto" w:fill="auto"/>
          </w:tcPr>
          <w:p w14:paraId="0411CC8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≥85%</w:t>
            </w:r>
          </w:p>
        </w:tc>
        <w:tc>
          <w:tcPr>
            <w:tcW w:w="3069" w:type="dxa"/>
            <w:shd w:val="clear" w:color="auto" w:fill="auto"/>
          </w:tcPr>
          <w:p w14:paraId="454DEEC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过程框架设计与服务需求的匹配率</w:t>
            </w:r>
          </w:p>
        </w:tc>
        <w:tc>
          <w:tcPr>
            <w:tcW w:w="1193" w:type="dxa"/>
            <w:shd w:val="clear" w:color="auto" w:fill="auto"/>
          </w:tcPr>
          <w:p w14:paraId="2C4EBFE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jc w:val="left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每季度</w:t>
            </w:r>
          </w:p>
        </w:tc>
      </w:tr>
    </w:tbl>
    <w:p w14:paraId="5F77CA96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22" w:name="bookmark3"/>
      <w:bookmarkEnd w:id="22"/>
      <w:bookmarkStart w:id="23" w:name="_Toc17424"/>
      <w:bookmarkStart w:id="24" w:name="_Toc8898"/>
      <w:r>
        <w:rPr>
          <w:rStyle w:val="38"/>
          <w:rFonts w:hint="eastAsia" w:eastAsia="宋体"/>
          <w:lang w:val="en-US" w:eastAsia="zh-CN"/>
        </w:rPr>
        <w:t>附则</w:t>
      </w:r>
      <w:bookmarkEnd w:id="23"/>
      <w:bookmarkEnd w:id="24"/>
    </w:p>
    <w:p w14:paraId="6B453150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平台运维组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08F5DC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3DCABFE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bookmark14"/>
      <w:bookmarkEnd w:id="25"/>
      <w:bookmarkStart w:id="26" w:name="_Toc14722"/>
      <w:r>
        <w:rPr>
          <w:rFonts w:hint="eastAsia"/>
          <w:lang w:val="en-US" w:eastAsia="zh-CN"/>
        </w:rPr>
        <w:t>附件</w:t>
      </w:r>
      <w:bookmarkEnd w:id="26"/>
    </w:p>
    <w:p w14:paraId="48A16601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7" w:name="_Toc7437"/>
      <w:r>
        <w:rPr>
          <w:rFonts w:hint="eastAsia"/>
          <w:lang w:val="en-US" w:eastAsia="zh-CN"/>
        </w:rPr>
        <w:t>记录</w:t>
      </w:r>
      <w:bookmarkEnd w:id="27"/>
    </w:p>
    <w:p w14:paraId="679A0BAD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《过程框架设计记录》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62B6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37908"/>
    <w:multiLevelType w:val="singleLevel"/>
    <w:tmpl w:val="80C379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14D7F3D"/>
    <w:multiLevelType w:val="singleLevel"/>
    <w:tmpl w:val="F14D7F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C33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1543</Words>
  <Characters>1683</Characters>
  <Lines>0</Lines>
  <Paragraphs>0</Paragraphs>
  <TotalTime>1</TotalTime>
  <ScaleCrop>false</ScaleCrop>
  <LinksUpToDate>false</LinksUpToDate>
  <CharactersWithSpaces>1781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2025-12-01T15:41:57Z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