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A7D10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-04</w:t>
      </w:r>
    </w:p>
    <w:p w14:paraId="7EAC4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38B2250C">
      <w:pPr>
        <w:pStyle w:val="24"/>
        <w:bidi w:val="0"/>
      </w:pPr>
      <w:bookmarkStart w:id="0" w:name="_Toc27186"/>
      <w:r>
        <w:rPr>
          <w:rFonts w:hint="eastAsia"/>
          <w:lang w:val="en-US" w:eastAsia="zh-CN"/>
        </w:rPr>
        <w:t>青岛瑞源工程集团有限公司</w:t>
      </w:r>
      <w:bookmarkEnd w:id="0"/>
    </w:p>
    <w:p w14:paraId="7AE2CB78">
      <w:pPr>
        <w:pStyle w:val="25"/>
        <w:bidi w:val="0"/>
        <w:rPr>
          <w:rFonts w:hint="default"/>
          <w:lang w:val="en-US"/>
        </w:rPr>
      </w:pPr>
      <w:bookmarkStart w:id="1" w:name="_Toc24379"/>
      <w:r>
        <w:rPr>
          <w:rFonts w:hint="eastAsia"/>
          <w:lang w:val="en-US" w:eastAsia="zh-CN"/>
        </w:rPr>
        <w:t>事件管理制度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D133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79AFFE4C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02DAC8F8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D834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746D4C76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fitText w:val="600" w:id="1418271717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00" w:id="1418271717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0B5E8B1F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9248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42E6E17C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25617049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21E29D3C">
      <w:r>
        <w:br w:type="page"/>
      </w:r>
    </w:p>
    <w:p w14:paraId="644F7660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4DA0CD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93" w:hRule="atLeast"/>
        </w:trPr>
        <w:tc>
          <w:tcPr>
            <w:tcW w:w="1555" w:type="dxa"/>
          </w:tcPr>
          <w:p w14:paraId="078EC464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2F42421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AD9E6F8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A67E0EE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59EAF272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5E6FAC7A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2997C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1598A50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0C9D6A65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ED1EF7C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22888011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</w:tcPr>
          <w:p w14:paraId="1A333E70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fitText w:val="600" w:id="1468029726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00" w:id="1468029726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557232F6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714EF1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E7DAA6D">
            <w:pPr>
              <w:pStyle w:val="27"/>
            </w:pPr>
          </w:p>
        </w:tc>
        <w:tc>
          <w:tcPr>
            <w:tcW w:w="919" w:type="dxa"/>
          </w:tcPr>
          <w:p w14:paraId="787850B8">
            <w:pPr>
              <w:pStyle w:val="27"/>
            </w:pPr>
          </w:p>
        </w:tc>
        <w:tc>
          <w:tcPr>
            <w:tcW w:w="2289" w:type="dxa"/>
          </w:tcPr>
          <w:p w14:paraId="2411270A">
            <w:pPr>
              <w:pStyle w:val="27"/>
            </w:pPr>
          </w:p>
        </w:tc>
        <w:tc>
          <w:tcPr>
            <w:tcW w:w="1148" w:type="dxa"/>
          </w:tcPr>
          <w:p w14:paraId="2B8177D9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335E477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31FA11DA">
            <w:pPr>
              <w:pStyle w:val="27"/>
            </w:pPr>
          </w:p>
        </w:tc>
      </w:tr>
      <w:tr w14:paraId="18C3A2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E0E63DA">
            <w:pPr>
              <w:pStyle w:val="27"/>
            </w:pPr>
          </w:p>
        </w:tc>
        <w:tc>
          <w:tcPr>
            <w:tcW w:w="919" w:type="dxa"/>
          </w:tcPr>
          <w:p w14:paraId="10CD8553">
            <w:pPr>
              <w:pStyle w:val="27"/>
            </w:pPr>
          </w:p>
        </w:tc>
        <w:tc>
          <w:tcPr>
            <w:tcW w:w="2289" w:type="dxa"/>
          </w:tcPr>
          <w:p w14:paraId="1D6AAB25">
            <w:pPr>
              <w:pStyle w:val="27"/>
            </w:pPr>
          </w:p>
        </w:tc>
        <w:tc>
          <w:tcPr>
            <w:tcW w:w="1148" w:type="dxa"/>
          </w:tcPr>
          <w:p w14:paraId="06E35765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B0E3E12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45C743FE">
            <w:pPr>
              <w:pStyle w:val="27"/>
            </w:pPr>
          </w:p>
        </w:tc>
      </w:tr>
      <w:tr w14:paraId="5497A8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72CC56B9">
            <w:pPr>
              <w:pStyle w:val="27"/>
            </w:pPr>
          </w:p>
        </w:tc>
        <w:tc>
          <w:tcPr>
            <w:tcW w:w="919" w:type="dxa"/>
          </w:tcPr>
          <w:p w14:paraId="36A46A92">
            <w:pPr>
              <w:pStyle w:val="27"/>
            </w:pPr>
          </w:p>
        </w:tc>
        <w:tc>
          <w:tcPr>
            <w:tcW w:w="2289" w:type="dxa"/>
          </w:tcPr>
          <w:p w14:paraId="5ADB2147">
            <w:pPr>
              <w:pStyle w:val="27"/>
            </w:pPr>
          </w:p>
        </w:tc>
        <w:tc>
          <w:tcPr>
            <w:tcW w:w="1148" w:type="dxa"/>
          </w:tcPr>
          <w:p w14:paraId="1261A6E1">
            <w:pPr>
              <w:pStyle w:val="27"/>
            </w:pPr>
          </w:p>
        </w:tc>
        <w:tc>
          <w:tcPr>
            <w:tcW w:w="1150" w:type="dxa"/>
          </w:tcPr>
          <w:p w14:paraId="4387D7CA">
            <w:pPr>
              <w:pStyle w:val="27"/>
            </w:pPr>
          </w:p>
        </w:tc>
        <w:tc>
          <w:tcPr>
            <w:tcW w:w="1240" w:type="dxa"/>
          </w:tcPr>
          <w:p w14:paraId="0924BD7A">
            <w:pPr>
              <w:pStyle w:val="27"/>
            </w:pPr>
          </w:p>
        </w:tc>
      </w:tr>
      <w:tr w14:paraId="361832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07BD916">
            <w:pPr>
              <w:pStyle w:val="27"/>
            </w:pPr>
          </w:p>
        </w:tc>
        <w:tc>
          <w:tcPr>
            <w:tcW w:w="919" w:type="dxa"/>
          </w:tcPr>
          <w:p w14:paraId="6BDB6CC0">
            <w:pPr>
              <w:pStyle w:val="27"/>
            </w:pPr>
          </w:p>
        </w:tc>
        <w:tc>
          <w:tcPr>
            <w:tcW w:w="2289" w:type="dxa"/>
          </w:tcPr>
          <w:p w14:paraId="1D8E5887">
            <w:pPr>
              <w:pStyle w:val="27"/>
            </w:pPr>
          </w:p>
        </w:tc>
        <w:tc>
          <w:tcPr>
            <w:tcW w:w="1148" w:type="dxa"/>
          </w:tcPr>
          <w:p w14:paraId="47FA94EC">
            <w:pPr>
              <w:pStyle w:val="27"/>
            </w:pPr>
          </w:p>
        </w:tc>
        <w:tc>
          <w:tcPr>
            <w:tcW w:w="1150" w:type="dxa"/>
          </w:tcPr>
          <w:p w14:paraId="37423F4D">
            <w:pPr>
              <w:pStyle w:val="27"/>
            </w:pPr>
          </w:p>
        </w:tc>
        <w:tc>
          <w:tcPr>
            <w:tcW w:w="1240" w:type="dxa"/>
          </w:tcPr>
          <w:p w14:paraId="070E2050">
            <w:pPr>
              <w:pStyle w:val="27"/>
            </w:pPr>
          </w:p>
        </w:tc>
      </w:tr>
      <w:tr w14:paraId="5F2A5A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00B1E9DA">
            <w:pPr>
              <w:pStyle w:val="27"/>
            </w:pPr>
          </w:p>
        </w:tc>
        <w:tc>
          <w:tcPr>
            <w:tcW w:w="919" w:type="dxa"/>
          </w:tcPr>
          <w:p w14:paraId="17D300FE">
            <w:pPr>
              <w:pStyle w:val="27"/>
            </w:pPr>
          </w:p>
        </w:tc>
        <w:tc>
          <w:tcPr>
            <w:tcW w:w="2289" w:type="dxa"/>
          </w:tcPr>
          <w:p w14:paraId="25F07FF0">
            <w:pPr>
              <w:pStyle w:val="27"/>
            </w:pPr>
          </w:p>
        </w:tc>
        <w:tc>
          <w:tcPr>
            <w:tcW w:w="1148" w:type="dxa"/>
          </w:tcPr>
          <w:p w14:paraId="0317CA74">
            <w:pPr>
              <w:pStyle w:val="27"/>
            </w:pPr>
          </w:p>
        </w:tc>
        <w:tc>
          <w:tcPr>
            <w:tcW w:w="1150" w:type="dxa"/>
          </w:tcPr>
          <w:p w14:paraId="45545D31">
            <w:pPr>
              <w:pStyle w:val="27"/>
            </w:pPr>
          </w:p>
        </w:tc>
        <w:tc>
          <w:tcPr>
            <w:tcW w:w="1240" w:type="dxa"/>
          </w:tcPr>
          <w:p w14:paraId="6E1CBBE0">
            <w:pPr>
              <w:pStyle w:val="27"/>
            </w:pPr>
          </w:p>
        </w:tc>
      </w:tr>
    </w:tbl>
    <w:p w14:paraId="060A7BB5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2C10D0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6A3F79A">
          <w:pPr>
            <w:pStyle w:val="16"/>
            <w:tabs>
              <w:tab w:val="right" w:leader="dot" w:pos="8306"/>
            </w:tabs>
          </w:pPr>
          <w:bookmarkStart w:id="31" w:name="_GoBack"/>
          <w:bookmarkEnd w:id="31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_Toc27186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88217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事件管理制度</w:t>
          </w:r>
          <w:r>
            <w:tab/>
          </w:r>
          <w:r>
            <w:fldChar w:fldCharType="begin"/>
          </w:r>
          <w:r>
            <w:instrText xml:space="preserve"> PAGEREF _Toc24379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82CD3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_Toc17168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_Toc17168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CE1E1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_Toc3121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61801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_Toc23203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术语定义</w:t>
          </w:r>
          <w:r>
            <w:tab/>
          </w:r>
          <w:r>
            <w:fldChar w:fldCharType="begin"/>
          </w:r>
          <w:r>
            <w:instrText xml:space="preserve"> PAGEREF _Toc23203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00365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_Toc6844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_Toc6844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3CBE8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_Toc7506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_Toc7506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35B55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_Toc15709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平台运维组</w:t>
          </w:r>
          <w:r>
            <w:tab/>
          </w:r>
          <w:r>
            <w:fldChar w:fldCharType="begin"/>
          </w:r>
          <w:r>
            <w:instrText xml:space="preserve"> PAGEREF _Toc15709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4DAE8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_Toc21641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事件管理流程</w:t>
          </w:r>
          <w:r>
            <w:tab/>
          </w:r>
          <w:r>
            <w:fldChar w:fldCharType="begin"/>
          </w:r>
          <w:r>
            <w:instrText xml:space="preserve"> PAGEREF _Toc21641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9DEA2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_Toc7439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流程说明</w:t>
          </w:r>
          <w:r>
            <w:tab/>
          </w:r>
          <w:r>
            <w:fldChar w:fldCharType="begin"/>
          </w:r>
          <w:r>
            <w:instrText xml:space="preserve"> PAGEREF _Toc7439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E687D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5.1.1. 热线受理</w:t>
          </w:r>
          <w:r>
            <w:tab/>
          </w:r>
          <w:r>
            <w:fldChar w:fldCharType="begin"/>
          </w:r>
          <w:r>
            <w:instrText xml:space="preserve"> PAGEREF _Toc32140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F56D3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5.1.2. </w:t>
          </w:r>
          <w:r>
            <w:rPr>
              <w:rFonts w:hint="eastAsia"/>
              <w:lang w:val="en-US" w:eastAsia="zh-CN"/>
            </w:rPr>
            <w:t>事件</w:t>
          </w:r>
          <w:r>
            <w:rPr>
              <w:rFonts w:hint="default"/>
              <w:lang w:val="en-US" w:eastAsia="zh-CN"/>
            </w:rPr>
            <w:t>记录和分类</w:t>
          </w:r>
          <w:r>
            <w:tab/>
          </w:r>
          <w:r>
            <w:fldChar w:fldCharType="begin"/>
          </w:r>
          <w:r>
            <w:instrText xml:space="preserve"> PAGEREF _Toc16730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F5FBD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5.1.3. </w:t>
          </w:r>
          <w:r>
            <w:rPr>
              <w:rFonts w:hint="eastAsia"/>
              <w:lang w:val="en-US" w:eastAsia="zh-CN"/>
            </w:rPr>
            <w:t>事件记录与分级</w:t>
          </w:r>
          <w:r>
            <w:tab/>
          </w:r>
          <w:r>
            <w:fldChar w:fldCharType="begin"/>
          </w:r>
          <w:r>
            <w:instrText xml:space="preserve"> PAGEREF _Toc19408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CC623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5.1.4. 热线电话尝试解决</w:t>
          </w:r>
          <w:r>
            <w:tab/>
          </w:r>
          <w:r>
            <w:fldChar w:fldCharType="begin"/>
          </w:r>
          <w:r>
            <w:instrText xml:space="preserve"> PAGEREF _Toc22976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9B51E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_Toc23334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5.1.5. 远程解决</w:t>
          </w:r>
          <w:r>
            <w:tab/>
          </w:r>
          <w:r>
            <w:fldChar w:fldCharType="begin"/>
          </w:r>
          <w:r>
            <w:instrText xml:space="preserve"> PAGEREF _Toc23334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63820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5.1.6. 二线支持</w:t>
          </w:r>
          <w:r>
            <w:tab/>
          </w:r>
          <w:r>
            <w:fldChar w:fldCharType="begin"/>
          </w:r>
          <w:r>
            <w:instrText xml:space="preserve"> PAGEREF _Toc31680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4D4B4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_Toc30785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5.1.7. 现场服务响应</w:t>
          </w:r>
          <w:r>
            <w:tab/>
          </w:r>
          <w:r>
            <w:fldChar w:fldCharType="begin"/>
          </w:r>
          <w:r>
            <w:instrText xml:space="preserve"> PAGEREF _Toc30785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134A8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5.1.8. 调查诊断</w:t>
          </w:r>
          <w:r>
            <w:tab/>
          </w:r>
          <w:r>
            <w:fldChar w:fldCharType="begin"/>
          </w:r>
          <w:r>
            <w:instrText xml:space="preserve"> PAGEREF _Toc16835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95C05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_Toc23129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5.1.9. 确定解决方案</w:t>
          </w:r>
          <w:r>
            <w:tab/>
          </w:r>
          <w:r>
            <w:fldChar w:fldCharType="begin"/>
          </w:r>
          <w:r>
            <w:instrText xml:space="preserve"> PAGEREF _Toc23129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FD152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_Toc23221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5.1.10. 客户确认</w:t>
          </w:r>
          <w:r>
            <w:tab/>
          </w:r>
          <w:r>
            <w:fldChar w:fldCharType="begin"/>
          </w:r>
          <w:r>
            <w:instrText xml:space="preserve"> PAGEREF _Toc23221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EF916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5.1.11. 资料归档</w:t>
          </w:r>
          <w:r>
            <w:tab/>
          </w:r>
          <w:r>
            <w:fldChar w:fldCharType="begin"/>
          </w:r>
          <w:r>
            <w:instrText xml:space="preserve"> PAGEREF _Toc16121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BA548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_Toc22291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5.1.12. 事件报告</w:t>
          </w:r>
          <w:r>
            <w:tab/>
          </w:r>
          <w:r>
            <w:fldChar w:fldCharType="begin"/>
          </w:r>
          <w:r>
            <w:instrText xml:space="preserve"> PAGEREF _Toc22291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F0564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_Toc8513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1E827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_Toc10164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6636F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_Toc20506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_Toc20506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250A5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_Toc9114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_Toc9114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69343A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8B601D9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31742FC">
      <w:pPr>
        <w:pStyle w:val="28"/>
        <w:bidi w:val="0"/>
      </w:pPr>
      <w:bookmarkStart w:id="2" w:name="_Toc17168"/>
      <w:r>
        <w:t>目的</w:t>
      </w:r>
      <w:bookmarkEnd w:id="2"/>
    </w:p>
    <w:p w14:paraId="0786B909">
      <w:pPr>
        <w:pStyle w:val="29"/>
        <w:bidi w:val="0"/>
        <w:rPr>
          <w:rFonts w:hint="eastAsia"/>
          <w:lang w:val="en-US" w:eastAsia="zh-CN"/>
        </w:rPr>
      </w:pPr>
      <w:r>
        <w:t>为了减少或消除存在或可能存在于IT服务中的干扰因素给IT服务带来的影响，以确保用户可以尽快恢复自己的正常工作</w:t>
      </w:r>
      <w:r>
        <w:rPr>
          <w:rFonts w:hint="eastAsia"/>
          <w:lang w:val="en-US" w:eastAsia="zh-CN"/>
        </w:rPr>
        <w:t>,特制定此制度。</w:t>
      </w:r>
    </w:p>
    <w:p w14:paraId="732B4D0E">
      <w:pPr>
        <w:pStyle w:val="28"/>
        <w:bidi w:val="0"/>
        <w:rPr>
          <w:rFonts w:hint="eastAsia"/>
          <w:lang w:val="en-US" w:eastAsia="zh-CN"/>
        </w:rPr>
      </w:pPr>
      <w:bookmarkStart w:id="3" w:name="_Toc3121"/>
      <w:r>
        <w:rPr>
          <w:rFonts w:hint="eastAsia"/>
          <w:lang w:val="en-US" w:eastAsia="zh-CN"/>
        </w:rPr>
        <w:t>原则</w:t>
      </w:r>
      <w:bookmarkEnd w:id="3"/>
    </w:p>
    <w:p w14:paraId="0A5844BD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快速响应与恢复优先</w:t>
      </w:r>
    </w:p>
    <w:p w14:paraId="59DE3D13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以确保服务可用性为核心目标，优先快速恢复正常的业务运营，最大限度减少事件对业务的影响。</w:t>
      </w:r>
    </w:p>
    <w:p w14:paraId="7A531737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分类分级与优先级管理</w:t>
      </w:r>
    </w:p>
    <w:p w14:paraId="0CEAC343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根据事件的影响范围和紧急程度，对其进行分类、分级，并明确优先级，确保资源得到合理、高效的分配。</w:t>
      </w:r>
    </w:p>
    <w:p w14:paraId="2D0B5D56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标准化流程处理</w:t>
      </w:r>
    </w:p>
    <w:p w14:paraId="3CC53E5C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严格执行事件识别、记录、调查、诊断、解决与关闭的全流程标准化管理，确保处理过程的可追溯性和一致性。</w:t>
      </w:r>
    </w:p>
    <w:p w14:paraId="051B2DD3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有效沟通与及时通报</w:t>
      </w:r>
    </w:p>
    <w:p w14:paraId="13793DD5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在事件处理过程中，应及时向相关用户及利益相关方通报事件状态、处理进展及最终结果，保持信息透明。</w:t>
      </w:r>
    </w:p>
    <w:p w14:paraId="3422B437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知识积累与持续改进</w:t>
      </w:r>
    </w:p>
    <w:p w14:paraId="6353783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将事件解决方案、处理经验沉淀为知识库内容，并定期分析事件根本原因，推动服务改进，预防同类事件重复发生。</w:t>
      </w:r>
    </w:p>
    <w:p w14:paraId="2A200C2B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全员参与与协作共治</w:t>
      </w:r>
    </w:p>
    <w:p w14:paraId="466EB9A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明确各相关团队（如运维、研发、供应商）在事件管理中的角色与职责，强化跨团队协同，形成管理合力。</w:t>
      </w:r>
    </w:p>
    <w:p w14:paraId="4A27552E">
      <w:pPr>
        <w:pStyle w:val="30"/>
        <w:bidi w:val="0"/>
        <w:rPr>
          <w:rFonts w:hint="eastAsia"/>
          <w:lang w:val="en-US" w:eastAsia="zh-CN"/>
        </w:rPr>
      </w:pPr>
      <w:bookmarkStart w:id="4" w:name="_Toc23203"/>
      <w:r>
        <w:rPr>
          <w:rFonts w:hint="eastAsia"/>
          <w:lang w:val="en-US" w:eastAsia="zh-CN"/>
        </w:rPr>
        <w:t>术语定义</w:t>
      </w:r>
      <w:bookmarkEnd w:id="4"/>
    </w:p>
    <w:p w14:paraId="17E04B64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一线支持</w:t>
      </w:r>
    </w:p>
    <w:p w14:paraId="117C621C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服务台专员</w:t>
      </w:r>
    </w:p>
    <w:p w14:paraId="3D1C6D2D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二线支持</w:t>
      </w:r>
    </w:p>
    <w:p w14:paraId="1908830A">
      <w:pPr>
        <w:pStyle w:val="29"/>
        <w:bidi w:val="0"/>
        <w:rPr>
          <w:rFonts w:hint="default" w:eastAsia="宋体"/>
          <w:lang w:val="en-US" w:eastAsia="zh-CN"/>
        </w:rPr>
      </w:pPr>
      <w:r>
        <w:t>指平台运维组与研发组的研发人员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运维实施工程师</w:t>
      </w:r>
    </w:p>
    <w:p w14:paraId="492F92B2">
      <w:pPr>
        <w:pStyle w:val="28"/>
        <w:bidi w:val="0"/>
      </w:pPr>
      <w:bookmarkStart w:id="5" w:name="_Toc30813"/>
      <w:bookmarkStart w:id="6" w:name="_Toc6844"/>
      <w:r>
        <w:rPr>
          <w:rFonts w:hint="eastAsia"/>
          <w:lang w:val="en-US" w:eastAsia="zh-CN"/>
        </w:rPr>
        <w:t>适用</w:t>
      </w:r>
      <w:r>
        <w:t>范围</w:t>
      </w:r>
      <w:bookmarkEnd w:id="5"/>
      <w:bookmarkEnd w:id="6"/>
    </w:p>
    <w:p w14:paraId="4403C183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事件管理主要包括的内容如下:</w:t>
      </w:r>
    </w:p>
    <w:p w14:paraId="6698AD6D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操作系统损坏，需要重新安排软件</w:t>
      </w:r>
    </w:p>
    <w:p w14:paraId="7A2C2659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软件服务到期</w:t>
      </w:r>
    </w:p>
    <w:p w14:paraId="56BC31F6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由于本机硬件问题导致系统无法正常工作</w:t>
      </w:r>
    </w:p>
    <w:p w14:paraId="141A9DC3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需要把原来的数据库导入新系统中</w:t>
      </w:r>
    </w:p>
    <w:p w14:paraId="4B0F29FF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不会使用软件，需要上门指导学习使用</w:t>
      </w:r>
    </w:p>
    <w:p w14:paraId="6C178AD4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操作使用软件不当，软件文件损坏导致软件系统无法正常工作</w:t>
      </w:r>
    </w:p>
    <w:p w14:paraId="3D8E14CD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本身电脑因为中病毒、误操作、重新安装操作系统，软件无法启动</w:t>
      </w:r>
    </w:p>
    <w:p w14:paraId="10A38A9E">
      <w:pPr>
        <w:pStyle w:val="28"/>
        <w:bidi w:val="0"/>
        <w:rPr>
          <w:rFonts w:hint="eastAsia"/>
          <w:lang w:val="en-US" w:eastAsia="zh-CN"/>
        </w:rPr>
      </w:pPr>
      <w:bookmarkStart w:id="7" w:name="_Toc7506"/>
      <w:r>
        <w:rPr>
          <w:rFonts w:hint="eastAsia"/>
          <w:lang w:val="en-US" w:eastAsia="zh-CN"/>
        </w:rPr>
        <w:t>岗位职责</w:t>
      </w:r>
      <w:bookmarkEnd w:id="7"/>
    </w:p>
    <w:p w14:paraId="6705A271">
      <w:pPr>
        <w:pStyle w:val="30"/>
        <w:bidi w:val="0"/>
        <w:rPr>
          <w:rFonts w:hint="eastAsia"/>
          <w:lang w:val="en-US" w:eastAsia="zh-CN"/>
        </w:rPr>
      </w:pPr>
      <w:bookmarkStart w:id="8" w:name="_Toc15709"/>
      <w:r>
        <w:rPr>
          <w:rFonts w:hint="eastAsia"/>
          <w:lang w:val="en-US" w:eastAsia="zh-CN"/>
        </w:rPr>
        <w:t>平台运维组</w:t>
      </w:r>
      <w:bookmarkEnd w:id="8"/>
    </w:p>
    <w:p w14:paraId="69B293C7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定义并维护事件管理流程文件及所需要的记录模板；</w:t>
      </w:r>
    </w:p>
    <w:p w14:paraId="3ABF71FC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管理事件管理流程的实施，包括一线、二线的执行情况；</w:t>
      </w:r>
    </w:p>
    <w:p w14:paraId="525340B1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确保事件管理流程目标的实现；</w:t>
      </w:r>
    </w:p>
    <w:p w14:paraId="0EFB2208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识别事件管理过程中存在的问题并及时向部门经理提出；</w:t>
      </w:r>
    </w:p>
    <w:p w14:paraId="140D2B61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定期向部门经理汇报实施过程中存在的问题；定义并维护发布管理流程文件及所需要的记录模板；</w:t>
      </w:r>
    </w:p>
    <w:p w14:paraId="3BACA8FC">
      <w:pPr>
        <w:pStyle w:val="28"/>
        <w:bidi w:val="0"/>
        <w:rPr>
          <w:rFonts w:hint="default"/>
          <w:lang w:val="en-US" w:eastAsia="zh-CN"/>
        </w:rPr>
      </w:pPr>
      <w:bookmarkStart w:id="9" w:name="_Toc21641"/>
      <w:r>
        <w:rPr>
          <w:rFonts w:hint="eastAsia"/>
          <w:lang w:val="en-US" w:eastAsia="zh-CN"/>
        </w:rPr>
        <w:t>事件管理流程</w:t>
      </w:r>
      <w:bookmarkEnd w:id="9"/>
    </w:p>
    <w:p w14:paraId="593AE0C4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事件管理流程，如图5-1所示</w:t>
      </w:r>
    </w:p>
    <w:p w14:paraId="55C980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82A5148">
      <w:pPr>
        <w:pStyle w:val="29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事件管理流程</w:t>
      </w:r>
    </w:p>
    <w:p w14:paraId="03E39A7B">
      <w:pPr>
        <w:pStyle w:val="29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alt="" type="#_x0000_t75" style="height:458.9pt;width:368.6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8">
            <o:LockedField>false</o:LockedField>
          </o:OLEObject>
        </w:object>
      </w:r>
    </w:p>
    <w:p w14:paraId="4864DAFC">
      <w:pPr>
        <w:pStyle w:val="30"/>
        <w:bidi w:val="0"/>
        <w:rPr>
          <w:rFonts w:hint="default"/>
          <w:lang w:val="en-US" w:eastAsia="zh-CN"/>
        </w:rPr>
      </w:pPr>
      <w:bookmarkStart w:id="10" w:name="_Toc7439"/>
      <w:r>
        <w:rPr>
          <w:rFonts w:hint="eastAsia"/>
          <w:lang w:val="en-US" w:eastAsia="zh-CN"/>
        </w:rPr>
        <w:t>流程说明</w:t>
      </w:r>
      <w:bookmarkEnd w:id="10"/>
    </w:p>
    <w:p w14:paraId="27FDB475">
      <w:pPr>
        <w:pStyle w:val="31"/>
        <w:bidi w:val="0"/>
        <w:rPr>
          <w:rFonts w:hint="default"/>
          <w:lang w:val="en-US" w:eastAsia="zh-CN"/>
        </w:rPr>
      </w:pPr>
      <w:bookmarkStart w:id="11" w:name="_Toc32140"/>
      <w:r>
        <w:rPr>
          <w:rFonts w:hint="default"/>
          <w:lang w:val="en-US" w:eastAsia="zh-CN"/>
        </w:rPr>
        <w:t>热线受理</w:t>
      </w:r>
      <w:bookmarkEnd w:id="11"/>
    </w:p>
    <w:p w14:paraId="7B20E64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客户可通过热线电话、邮件或即时通讯等方式报告事件。一线支持需完整收集事件相关信息，受理后录入事件处理流程。</w:t>
      </w:r>
    </w:p>
    <w:p w14:paraId="278F1C6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一线支持应收集以下信息：</w:t>
      </w:r>
    </w:p>
    <w:p w14:paraId="24EFAC50">
      <w:pPr>
        <w:pStyle w:val="29"/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来电客户的单位名称、联系人、电话号码等基本信息；</w:t>
      </w:r>
    </w:p>
    <w:p w14:paraId="3BEF6764">
      <w:pPr>
        <w:pStyle w:val="29"/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影响业务的具体原因、故障现象及事件优先级；</w:t>
      </w:r>
    </w:p>
    <w:p w14:paraId="6A391FBA">
      <w:pPr>
        <w:pStyle w:val="29"/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客户期望的解决时间。</w:t>
      </w:r>
    </w:p>
    <w:p w14:paraId="1B52F1C6">
      <w:pPr>
        <w:pStyle w:val="31"/>
        <w:bidi w:val="0"/>
        <w:rPr>
          <w:rFonts w:hint="default"/>
          <w:lang w:val="en-US" w:eastAsia="zh-CN"/>
        </w:rPr>
      </w:pPr>
      <w:bookmarkStart w:id="12" w:name="_Toc16730"/>
      <w:r>
        <w:rPr>
          <w:rFonts w:hint="eastAsia"/>
          <w:lang w:val="en-US" w:eastAsia="zh-CN"/>
        </w:rPr>
        <w:t>事件</w:t>
      </w:r>
      <w:r>
        <w:rPr>
          <w:rFonts w:hint="default"/>
          <w:lang w:val="en-US" w:eastAsia="zh-CN"/>
        </w:rPr>
        <w:t>记录和分类</w:t>
      </w:r>
      <w:bookmarkEnd w:id="12"/>
    </w:p>
    <w:p w14:paraId="55DE374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一线支持须将来自热线电话、邮件或即时通讯的事件信息记录于《日常维护工作记录表》。通过电话受理时，需详细了解事件情况，并依据事件性质与影响范围对其进行分类和优先级判定。</w:t>
      </w:r>
    </w:p>
    <w:p w14:paraId="5EC19459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按照事件产生的对象进行分类，可分为操作系统类问题、数据类问题、中间件问题、安全类问题、应用系统类问题、硬件类问题及其它问题等；其中应用系统类又可以按照应用系统的</w:t>
      </w:r>
      <w:r>
        <w:rPr>
          <w:rFonts w:hint="default"/>
          <w:lang w:val="en-US" w:eastAsia="zh-CN"/>
        </w:rPr>
        <w:t>不同</w:t>
      </w:r>
      <w:r>
        <w:rPr>
          <w:rFonts w:hint="eastAsia"/>
          <w:lang w:val="en-US" w:eastAsia="zh-CN"/>
        </w:rPr>
        <w:t>进行进一步的细分。</w:t>
      </w:r>
    </w:p>
    <w:p w14:paraId="73E5759B">
      <w:pPr>
        <w:pStyle w:val="31"/>
        <w:bidi w:val="0"/>
        <w:rPr>
          <w:rFonts w:hint="eastAsia"/>
          <w:lang w:val="en-US" w:eastAsia="zh-CN"/>
        </w:rPr>
      </w:pPr>
      <w:bookmarkStart w:id="13" w:name="_Toc19408"/>
      <w:r>
        <w:rPr>
          <w:rFonts w:hint="eastAsia"/>
          <w:lang w:val="en-US" w:eastAsia="zh-CN"/>
        </w:rPr>
        <w:t>事件记录与分级</w:t>
      </w:r>
      <w:bookmarkEnd w:id="13"/>
    </w:p>
    <w:p w14:paraId="26C057F7">
      <w:pPr>
        <w:pStyle w:val="29"/>
        <w:bidi w:val="0"/>
      </w:pPr>
      <w:r>
        <w:rPr>
          <w:rFonts w:hint="eastAsia"/>
        </w:rPr>
        <w:t>事件的紧急度由问题的严重性，并结合用户的要求、服务级别协议来判断，可分为高中低三个级别。</w:t>
      </w: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698"/>
        <w:gridCol w:w="2618"/>
      </w:tblGrid>
      <w:tr w14:paraId="00B40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" w:hRule="atLeast"/>
        </w:trPr>
        <w:tc>
          <w:tcPr>
            <w:tcW w:w="3426" w:type="pct"/>
          </w:tcPr>
          <w:p w14:paraId="0AF9652E">
            <w:pPr>
              <w:pStyle w:val="29"/>
              <w:bidi w:val="0"/>
            </w:pPr>
            <w:r>
              <w:rPr>
                <w:rFonts w:hint="eastAsia"/>
              </w:rPr>
              <w:t>紧急度赋值标准</w:t>
            </w:r>
          </w:p>
        </w:tc>
        <w:tc>
          <w:tcPr>
            <w:tcW w:w="1574" w:type="pct"/>
          </w:tcPr>
          <w:p w14:paraId="44961CF2">
            <w:pPr>
              <w:pStyle w:val="29"/>
              <w:bidi w:val="0"/>
            </w:pPr>
            <w:r>
              <w:rPr>
                <w:rFonts w:hint="eastAsia"/>
              </w:rPr>
              <w:t>分数值（分）</w:t>
            </w:r>
          </w:p>
        </w:tc>
      </w:tr>
      <w:tr w14:paraId="6DA99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" w:hRule="atLeast"/>
        </w:trPr>
        <w:tc>
          <w:tcPr>
            <w:tcW w:w="3426" w:type="pct"/>
          </w:tcPr>
          <w:p w14:paraId="3C15F025">
            <w:pPr>
              <w:pStyle w:val="29"/>
              <w:bidi w:val="0"/>
            </w:pPr>
            <w:r>
              <w:rPr>
                <w:rFonts w:hint="eastAsia"/>
              </w:rPr>
              <w:t>导致用户的业务直接中断</w:t>
            </w:r>
          </w:p>
        </w:tc>
        <w:tc>
          <w:tcPr>
            <w:tcW w:w="1574" w:type="pct"/>
          </w:tcPr>
          <w:p w14:paraId="774476E7">
            <w:pPr>
              <w:pStyle w:val="29"/>
              <w:bidi w:val="0"/>
            </w:pPr>
            <w:r>
              <w:t>1</w:t>
            </w:r>
          </w:p>
        </w:tc>
      </w:tr>
      <w:tr w14:paraId="528AF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" w:hRule="atLeast"/>
        </w:trPr>
        <w:tc>
          <w:tcPr>
            <w:tcW w:w="3426" w:type="pct"/>
          </w:tcPr>
          <w:p w14:paraId="5C35D35A">
            <w:pPr>
              <w:pStyle w:val="29"/>
              <w:bidi w:val="0"/>
            </w:pPr>
            <w:r>
              <w:rPr>
                <w:rFonts w:hint="eastAsia"/>
              </w:rPr>
              <w:t>导致用户的某一部分功能中断，影响部分业务</w:t>
            </w:r>
          </w:p>
        </w:tc>
        <w:tc>
          <w:tcPr>
            <w:tcW w:w="1574" w:type="pct"/>
          </w:tcPr>
          <w:p w14:paraId="6CA36F57">
            <w:pPr>
              <w:pStyle w:val="29"/>
              <w:bidi w:val="0"/>
            </w:pPr>
            <w:r>
              <w:t>2</w:t>
            </w:r>
          </w:p>
        </w:tc>
      </w:tr>
      <w:tr w14:paraId="36A1C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" w:hRule="atLeast"/>
        </w:trPr>
        <w:tc>
          <w:tcPr>
            <w:tcW w:w="3426" w:type="pct"/>
          </w:tcPr>
          <w:p w14:paraId="04566836">
            <w:pPr>
              <w:pStyle w:val="29"/>
              <w:bidi w:val="0"/>
            </w:pPr>
            <w:r>
              <w:rPr>
                <w:rFonts w:hint="eastAsia"/>
              </w:rPr>
              <w:t>导致某一项功能中断，但不会影响业务</w:t>
            </w:r>
          </w:p>
        </w:tc>
        <w:tc>
          <w:tcPr>
            <w:tcW w:w="1574" w:type="pct"/>
          </w:tcPr>
          <w:p w14:paraId="20A60A48">
            <w:pPr>
              <w:pStyle w:val="29"/>
              <w:bidi w:val="0"/>
            </w:pPr>
            <w:r>
              <w:t>3</w:t>
            </w:r>
          </w:p>
        </w:tc>
      </w:tr>
    </w:tbl>
    <w:p w14:paraId="7620C3A6">
      <w:pPr>
        <w:pStyle w:val="29"/>
        <w:bidi w:val="0"/>
      </w:pPr>
      <w:r>
        <w:rPr>
          <w:rFonts w:hint="eastAsia"/>
        </w:rPr>
        <w:t>事件的影响范围由事件影响的客户数量，并结合用户的要求、服务级别协议来判断，可分为高中低三个级别。</w:t>
      </w: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698"/>
        <w:gridCol w:w="2618"/>
      </w:tblGrid>
      <w:tr w14:paraId="65882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" w:hRule="atLeast"/>
        </w:trPr>
        <w:tc>
          <w:tcPr>
            <w:tcW w:w="3426" w:type="pct"/>
          </w:tcPr>
          <w:p w14:paraId="79A0C077">
            <w:pPr>
              <w:pStyle w:val="29"/>
              <w:bidi w:val="0"/>
            </w:pPr>
            <w:r>
              <w:rPr>
                <w:rFonts w:hint="eastAsia"/>
              </w:rPr>
              <w:t>影响度赋值标准</w:t>
            </w:r>
          </w:p>
        </w:tc>
        <w:tc>
          <w:tcPr>
            <w:tcW w:w="1574" w:type="pct"/>
          </w:tcPr>
          <w:p w14:paraId="0E1D81B4">
            <w:pPr>
              <w:pStyle w:val="29"/>
              <w:bidi w:val="0"/>
            </w:pPr>
            <w:r>
              <w:rPr>
                <w:rFonts w:hint="eastAsia"/>
              </w:rPr>
              <w:t>分数值（分）</w:t>
            </w:r>
          </w:p>
        </w:tc>
      </w:tr>
      <w:tr w14:paraId="4A890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</w:trPr>
        <w:tc>
          <w:tcPr>
            <w:tcW w:w="3426" w:type="pct"/>
          </w:tcPr>
          <w:p w14:paraId="22FF874C">
            <w:pPr>
              <w:pStyle w:val="29"/>
              <w:bidi w:val="0"/>
            </w:pPr>
            <w:r>
              <w:rPr>
                <w:rFonts w:hint="eastAsia"/>
              </w:rPr>
              <w:t>影响用户群</w:t>
            </w:r>
            <w:r>
              <w:t>&gt;</w:t>
            </w:r>
            <w:r>
              <w:rPr>
                <w:rFonts w:hint="eastAsia"/>
              </w:rPr>
              <w:t>=6</w:t>
            </w:r>
            <w:r>
              <w:t xml:space="preserve">0% </w:t>
            </w:r>
          </w:p>
        </w:tc>
        <w:tc>
          <w:tcPr>
            <w:tcW w:w="1574" w:type="pct"/>
          </w:tcPr>
          <w:p w14:paraId="5AA7534F">
            <w:pPr>
              <w:pStyle w:val="29"/>
              <w:bidi w:val="0"/>
            </w:pPr>
            <w:r>
              <w:t>1</w:t>
            </w:r>
          </w:p>
        </w:tc>
      </w:tr>
      <w:tr w14:paraId="4DBFC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</w:trPr>
        <w:tc>
          <w:tcPr>
            <w:tcW w:w="3426" w:type="pct"/>
          </w:tcPr>
          <w:p w14:paraId="274A925E">
            <w:pPr>
              <w:pStyle w:val="29"/>
              <w:bidi w:val="0"/>
            </w:pPr>
            <w:r>
              <w:t>2</w:t>
            </w:r>
            <w:r>
              <w:rPr>
                <w:rFonts w:hint="eastAsia"/>
              </w:rPr>
              <w:t>5</w:t>
            </w:r>
            <w:r>
              <w:t>%&lt;</w:t>
            </w:r>
            <w:r>
              <w:rPr>
                <w:rFonts w:hint="eastAsia"/>
              </w:rPr>
              <w:t>=影响用户群</w:t>
            </w:r>
            <w:r>
              <w:t>&lt;</w:t>
            </w:r>
            <w:r>
              <w:rPr>
                <w:rFonts w:hint="eastAsia"/>
              </w:rPr>
              <w:t>6</w:t>
            </w:r>
            <w:r>
              <w:t xml:space="preserve">0% </w:t>
            </w:r>
          </w:p>
        </w:tc>
        <w:tc>
          <w:tcPr>
            <w:tcW w:w="1574" w:type="pct"/>
          </w:tcPr>
          <w:p w14:paraId="4710E2F2">
            <w:pPr>
              <w:pStyle w:val="29"/>
              <w:bidi w:val="0"/>
            </w:pPr>
            <w:r>
              <w:t>2</w:t>
            </w:r>
          </w:p>
        </w:tc>
      </w:tr>
      <w:tr w14:paraId="42E63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</w:trPr>
        <w:tc>
          <w:tcPr>
            <w:tcW w:w="3426" w:type="pct"/>
          </w:tcPr>
          <w:p w14:paraId="1E5687F4">
            <w:pPr>
              <w:pStyle w:val="29"/>
              <w:bidi w:val="0"/>
            </w:pPr>
            <w:r>
              <w:t>2</w:t>
            </w:r>
            <w:r>
              <w:rPr>
                <w:rFonts w:hint="eastAsia"/>
              </w:rPr>
              <w:t>5</w:t>
            </w:r>
            <w:r>
              <w:t>&lt;</w:t>
            </w:r>
            <w:r>
              <w:rPr>
                <w:rFonts w:hint="eastAsia"/>
              </w:rPr>
              <w:t>影响用户群</w:t>
            </w:r>
            <w:r>
              <w:t xml:space="preserve">&lt;10% </w:t>
            </w:r>
          </w:p>
        </w:tc>
        <w:tc>
          <w:tcPr>
            <w:tcW w:w="1574" w:type="pct"/>
          </w:tcPr>
          <w:p w14:paraId="0141B59D">
            <w:pPr>
              <w:pStyle w:val="29"/>
              <w:bidi w:val="0"/>
            </w:pPr>
            <w:r>
              <w:t>3</w:t>
            </w:r>
          </w:p>
        </w:tc>
      </w:tr>
    </w:tbl>
    <w:p w14:paraId="649C1EEC">
      <w:pPr>
        <w:pStyle w:val="29"/>
        <w:bidi w:val="0"/>
      </w:pPr>
      <w:r>
        <w:t>事件的优先级由事件的影响范围和紧急度共同确定。</w:t>
      </w:r>
    </w:p>
    <w:p w14:paraId="3FF28205">
      <w:pPr>
        <w:pStyle w:val="29"/>
        <w:bidi w:val="0"/>
      </w:pPr>
      <w:r>
        <w:rPr>
          <w:rFonts w:hint="eastAsia"/>
        </w:rPr>
        <w:t>优先级＝影响度×紧急度。</w:t>
      </w: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9"/>
        <w:gridCol w:w="1583"/>
        <w:gridCol w:w="1832"/>
        <w:gridCol w:w="1773"/>
        <w:gridCol w:w="1745"/>
      </w:tblGrid>
      <w:tr w14:paraId="56C7E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pct"/>
            <w:gridSpan w:val="2"/>
            <w:vMerge w:val="restart"/>
            <w:shd w:val="clear" w:color="auto" w:fill="auto"/>
            <w:vAlign w:val="center"/>
          </w:tcPr>
          <w:p w14:paraId="0D6A1BEF">
            <w:pPr>
              <w:pStyle w:val="29"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优先级指数</w:t>
            </w:r>
          </w:p>
        </w:tc>
        <w:tc>
          <w:tcPr>
            <w:tcW w:w="3139" w:type="pct"/>
            <w:gridSpan w:val="3"/>
            <w:shd w:val="clear" w:color="auto" w:fill="auto"/>
          </w:tcPr>
          <w:p w14:paraId="2AFD4AD3">
            <w:pPr>
              <w:pStyle w:val="29"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影响度</w:t>
            </w:r>
          </w:p>
        </w:tc>
      </w:tr>
      <w:tr w14:paraId="4B866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pct"/>
            <w:gridSpan w:val="2"/>
            <w:vMerge w:val="continue"/>
            <w:shd w:val="clear" w:color="auto" w:fill="auto"/>
          </w:tcPr>
          <w:p w14:paraId="0D90C970">
            <w:pPr>
              <w:pStyle w:val="29"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075" w:type="pct"/>
            <w:shd w:val="clear" w:color="auto" w:fill="auto"/>
          </w:tcPr>
          <w:p w14:paraId="7EF6F37E">
            <w:pPr>
              <w:pStyle w:val="29"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1040" w:type="pct"/>
            <w:shd w:val="clear" w:color="auto" w:fill="auto"/>
          </w:tcPr>
          <w:p w14:paraId="1905B7DE">
            <w:pPr>
              <w:pStyle w:val="29"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1024" w:type="pct"/>
            <w:shd w:val="clear" w:color="auto" w:fill="auto"/>
          </w:tcPr>
          <w:p w14:paraId="0E35437D">
            <w:pPr>
              <w:pStyle w:val="29"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3</w:t>
            </w:r>
          </w:p>
        </w:tc>
      </w:tr>
      <w:tr w14:paraId="39967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" w:hRule="atLeast"/>
        </w:trPr>
        <w:tc>
          <w:tcPr>
            <w:tcW w:w="932" w:type="pct"/>
            <w:vMerge w:val="restart"/>
            <w:shd w:val="clear" w:color="auto" w:fill="auto"/>
          </w:tcPr>
          <w:p w14:paraId="642EC6EE">
            <w:pPr>
              <w:pStyle w:val="29"/>
              <w:bidi w:val="0"/>
              <w:ind w:left="0" w:leftChars="0" w:firstLine="0"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影响程度</w:t>
            </w:r>
          </w:p>
        </w:tc>
        <w:tc>
          <w:tcPr>
            <w:tcW w:w="929" w:type="pct"/>
            <w:shd w:val="clear" w:color="auto" w:fill="auto"/>
          </w:tcPr>
          <w:p w14:paraId="69C07509">
            <w:pPr>
              <w:pStyle w:val="29"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1075" w:type="pct"/>
            <w:shd w:val="clear" w:color="auto" w:fill="auto"/>
          </w:tcPr>
          <w:p w14:paraId="057DC9B8">
            <w:pPr>
              <w:pStyle w:val="29"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1（一级）</w:t>
            </w:r>
          </w:p>
        </w:tc>
        <w:tc>
          <w:tcPr>
            <w:tcW w:w="1040" w:type="pct"/>
            <w:shd w:val="clear" w:color="auto" w:fill="auto"/>
          </w:tcPr>
          <w:p w14:paraId="6E3F24E9">
            <w:pPr>
              <w:pStyle w:val="29"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2（二级）</w:t>
            </w:r>
          </w:p>
        </w:tc>
        <w:tc>
          <w:tcPr>
            <w:tcW w:w="1024" w:type="pct"/>
            <w:shd w:val="clear" w:color="auto" w:fill="auto"/>
          </w:tcPr>
          <w:p w14:paraId="0096D738">
            <w:pPr>
              <w:pStyle w:val="29"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3（二级）</w:t>
            </w:r>
          </w:p>
        </w:tc>
      </w:tr>
      <w:tr w14:paraId="10B82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932" w:type="pct"/>
            <w:vMerge w:val="continue"/>
            <w:shd w:val="clear" w:color="auto" w:fill="auto"/>
          </w:tcPr>
          <w:p w14:paraId="7288C0DD">
            <w:pPr>
              <w:pStyle w:val="29"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929" w:type="pct"/>
            <w:shd w:val="clear" w:color="auto" w:fill="auto"/>
          </w:tcPr>
          <w:p w14:paraId="5882FB1C">
            <w:pPr>
              <w:pStyle w:val="29"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1075" w:type="pct"/>
            <w:shd w:val="clear" w:color="auto" w:fill="auto"/>
          </w:tcPr>
          <w:p w14:paraId="69B64728">
            <w:pPr>
              <w:pStyle w:val="29"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2（二级）</w:t>
            </w:r>
          </w:p>
        </w:tc>
        <w:tc>
          <w:tcPr>
            <w:tcW w:w="1040" w:type="pct"/>
            <w:shd w:val="clear" w:color="auto" w:fill="auto"/>
          </w:tcPr>
          <w:p w14:paraId="239271DC">
            <w:pPr>
              <w:pStyle w:val="29"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4（三级）</w:t>
            </w:r>
          </w:p>
        </w:tc>
        <w:tc>
          <w:tcPr>
            <w:tcW w:w="1024" w:type="pct"/>
            <w:shd w:val="clear" w:color="auto" w:fill="auto"/>
          </w:tcPr>
          <w:p w14:paraId="7DF2DFE5">
            <w:pPr>
              <w:pStyle w:val="29"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6（三级）</w:t>
            </w:r>
          </w:p>
        </w:tc>
      </w:tr>
      <w:tr w14:paraId="7CE9A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932" w:type="pct"/>
            <w:vMerge w:val="continue"/>
            <w:shd w:val="clear" w:color="auto" w:fill="auto"/>
          </w:tcPr>
          <w:p w14:paraId="594EBB05">
            <w:pPr>
              <w:pStyle w:val="29"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929" w:type="pct"/>
            <w:shd w:val="clear" w:color="auto" w:fill="auto"/>
          </w:tcPr>
          <w:p w14:paraId="787A7801">
            <w:pPr>
              <w:pStyle w:val="29"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3</w:t>
            </w:r>
          </w:p>
        </w:tc>
        <w:tc>
          <w:tcPr>
            <w:tcW w:w="1075" w:type="pct"/>
            <w:shd w:val="clear" w:color="auto" w:fill="auto"/>
          </w:tcPr>
          <w:p w14:paraId="018E4F83">
            <w:pPr>
              <w:pStyle w:val="29"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3（二级）</w:t>
            </w:r>
          </w:p>
        </w:tc>
        <w:tc>
          <w:tcPr>
            <w:tcW w:w="1040" w:type="pct"/>
            <w:shd w:val="clear" w:color="auto" w:fill="auto"/>
          </w:tcPr>
          <w:p w14:paraId="6BAED61B">
            <w:pPr>
              <w:pStyle w:val="29"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6（三级）</w:t>
            </w:r>
          </w:p>
        </w:tc>
        <w:tc>
          <w:tcPr>
            <w:tcW w:w="1024" w:type="pct"/>
            <w:shd w:val="clear" w:color="auto" w:fill="auto"/>
          </w:tcPr>
          <w:p w14:paraId="6C8B3BF7">
            <w:pPr>
              <w:pStyle w:val="29"/>
              <w:bidi w:val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9（四级）</w:t>
            </w:r>
          </w:p>
        </w:tc>
      </w:tr>
    </w:tbl>
    <w:p w14:paraId="46BEB57D">
      <w:pPr>
        <w:pStyle w:val="29"/>
        <w:bidi w:val="0"/>
      </w:pPr>
      <w:r>
        <w:rPr>
          <w:rFonts w:hint="eastAsia"/>
        </w:rPr>
        <w:t>根据以上矩阵表的计算结果，将事件分为以下级别：</w:t>
      </w:r>
    </w:p>
    <w:p w14:paraId="73C49F63">
      <w:pPr>
        <w:pStyle w:val="29"/>
        <w:bidi w:val="0"/>
      </w:pPr>
      <w:r>
        <w:t>一级事件</w:t>
      </w:r>
      <w:r>
        <w:rPr>
          <w:rFonts w:hint="eastAsia"/>
        </w:rPr>
        <w:t>（</w:t>
      </w:r>
      <w:r>
        <w:t>重大事件</w:t>
      </w:r>
      <w:r>
        <w:rPr>
          <w:rFonts w:hint="eastAsia"/>
        </w:rPr>
        <w:t>）</w:t>
      </w:r>
      <w:r>
        <w:t>：最紧急，</w:t>
      </w:r>
      <w:r>
        <w:rPr>
          <w:rFonts w:hint="eastAsia"/>
        </w:rPr>
        <w:t>签订的服务级别协议中规定的某个服务产品在运行过程</w:t>
      </w:r>
      <w:r>
        <w:t>中出现服务器宕机或系统瘫痪等导致服务中断、业务停止、数据丢失的事件。</w:t>
      </w:r>
    </w:p>
    <w:p w14:paraId="4D2CE7D1">
      <w:pPr>
        <w:pStyle w:val="29"/>
        <w:bidi w:val="0"/>
      </w:pPr>
      <w:r>
        <w:t>二级事件</w:t>
      </w:r>
      <w:r>
        <w:rPr>
          <w:rFonts w:hint="eastAsia"/>
        </w:rPr>
        <w:t>（</w:t>
      </w:r>
      <w:r>
        <w:t>严重/主要事件</w:t>
      </w:r>
      <w:r>
        <w:rPr>
          <w:rFonts w:hint="eastAsia"/>
        </w:rPr>
        <w:t>）</w:t>
      </w:r>
      <w:r>
        <w:t>：紧急，</w:t>
      </w:r>
      <w:r>
        <w:rPr>
          <w:rFonts w:hint="eastAsia"/>
        </w:rPr>
        <w:t>签订的服务级别协议中规定的某个服务产品在运行过程</w:t>
      </w:r>
      <w:r>
        <w:t>中出现的直接影响服务，导致系统性能或服务能力部分丧失的事件（如设备关键部件事件，系统响应速度大幅下降）；或具有潜在的系统瘫痪或服务中断的危险，可能导致设备或软件的基本功能不能实现的事件（如冗余设备单侧事件）等。</w:t>
      </w:r>
    </w:p>
    <w:p w14:paraId="19EB4AB3">
      <w:pPr>
        <w:pStyle w:val="29"/>
        <w:bidi w:val="0"/>
      </w:pPr>
      <w:r>
        <w:t>三级事件</w:t>
      </w:r>
      <w:r>
        <w:rPr>
          <w:rFonts w:hint="eastAsia"/>
        </w:rPr>
        <w:t>（</w:t>
      </w:r>
      <w:r>
        <w:t>一般/次要事件</w:t>
      </w:r>
      <w:r>
        <w:rPr>
          <w:rFonts w:hint="eastAsia"/>
        </w:rPr>
        <w:t>）</w:t>
      </w:r>
      <w:r>
        <w:t>：一般，除一、二级事件外的其它</w:t>
      </w:r>
      <w:r>
        <w:rPr>
          <w:rFonts w:hint="eastAsia"/>
        </w:rPr>
        <w:t>设备级别的</w:t>
      </w:r>
      <w:r>
        <w:t>软硬件事件，指设备或软件在运行中出现的，轻微影响系统功能和性能，但关键业务不受影响的事件。</w:t>
      </w:r>
    </w:p>
    <w:p w14:paraId="38B6BEBE">
      <w:pPr>
        <w:pStyle w:val="29"/>
        <w:bidi w:val="0"/>
      </w:pPr>
      <w:r>
        <w:rPr>
          <w:rFonts w:hint="eastAsia"/>
        </w:rPr>
        <w:t>四级事件（轻微事件）：在相关产品功能、安装或配置方面需要信息或支援。对用户的业务运作几乎无影响，或根本没有影响。</w:t>
      </w:r>
    </w:p>
    <w:p w14:paraId="64C5FDC8">
      <w:pPr>
        <w:pStyle w:val="31"/>
        <w:bidi w:val="0"/>
        <w:rPr>
          <w:rFonts w:hint="default"/>
          <w:lang w:val="en-US" w:eastAsia="zh-CN"/>
        </w:rPr>
      </w:pPr>
      <w:bookmarkStart w:id="14" w:name="_Toc22976"/>
      <w:r>
        <w:rPr>
          <w:rFonts w:hint="default"/>
          <w:lang w:val="en-US" w:eastAsia="zh-CN"/>
        </w:rPr>
        <w:t>热线电话尝试解决</w:t>
      </w:r>
      <w:bookmarkEnd w:id="14"/>
    </w:p>
    <w:p w14:paraId="2FD803F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一线支持人员在受理事件后，首先根据用户描述，尝试通过电话指导用户自行解决故障。</w:t>
      </w:r>
    </w:p>
    <w:p w14:paraId="5E6B8DB3">
      <w:pPr>
        <w:pStyle w:val="31"/>
        <w:bidi w:val="0"/>
        <w:rPr>
          <w:rFonts w:hint="default"/>
          <w:lang w:val="en-US" w:eastAsia="zh-CN"/>
        </w:rPr>
      </w:pPr>
      <w:bookmarkStart w:id="15" w:name="_Toc23334"/>
      <w:r>
        <w:rPr>
          <w:rFonts w:hint="default"/>
          <w:lang w:val="en-US" w:eastAsia="zh-CN"/>
        </w:rPr>
        <w:t>远程解决</w:t>
      </w:r>
      <w:bookmarkEnd w:id="15"/>
    </w:p>
    <w:p w14:paraId="468E922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若无法通过电话指导解决，一线支持人员在获得客户授权后，可借助远程工具登录客户计算机进行了操作处理。</w:t>
      </w:r>
    </w:p>
    <w:p w14:paraId="692EC3A6">
      <w:pPr>
        <w:pStyle w:val="31"/>
        <w:bidi w:val="0"/>
        <w:rPr>
          <w:rFonts w:hint="default"/>
          <w:lang w:val="en-US" w:eastAsia="zh-CN"/>
        </w:rPr>
      </w:pPr>
      <w:bookmarkStart w:id="16" w:name="_Toc31680"/>
      <w:r>
        <w:rPr>
          <w:rFonts w:hint="default"/>
          <w:lang w:val="en-US" w:eastAsia="zh-CN"/>
        </w:rPr>
        <w:t>二线支持</w:t>
      </w:r>
      <w:bookmarkEnd w:id="16"/>
    </w:p>
    <w:p w14:paraId="4E65396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如一线支持无法独立解决事件，或判断事件超出其职责范围，应转交二线支持处理。</w:t>
      </w:r>
    </w:p>
    <w:p w14:paraId="536CF69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二线支持主要负责解决技术疑难问题，分析根本原因，审批新增设备及配套服务，并牵头处理重大故障或服务纠纷。</w:t>
      </w:r>
    </w:p>
    <w:p w14:paraId="0F2501FF">
      <w:pPr>
        <w:pStyle w:val="31"/>
        <w:bidi w:val="0"/>
        <w:rPr>
          <w:rFonts w:hint="default"/>
          <w:lang w:val="en-US" w:eastAsia="zh-CN"/>
        </w:rPr>
      </w:pPr>
      <w:bookmarkStart w:id="17" w:name="_Toc30785"/>
      <w:r>
        <w:rPr>
          <w:rFonts w:hint="default"/>
          <w:lang w:val="en-US" w:eastAsia="zh-CN"/>
        </w:rPr>
        <w:t>现场服务响应</w:t>
      </w:r>
      <w:bookmarkEnd w:id="17"/>
    </w:p>
    <w:p w14:paraId="43F41FB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技术人员（一线或二线）应与客户协商确定现场服务的具体时间、地点及需客户配合的事项。</w:t>
      </w:r>
    </w:p>
    <w:p w14:paraId="66C8C9F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技术人员需准备最新版本的安装程序、用户手册、升级补丁及现场服务记录单，必要时可申请二线支持协同前往。</w:t>
      </w:r>
    </w:p>
    <w:p w14:paraId="2DC757D9">
      <w:pPr>
        <w:pStyle w:val="31"/>
        <w:bidi w:val="0"/>
        <w:rPr>
          <w:rFonts w:hint="default"/>
          <w:lang w:val="en-US" w:eastAsia="zh-CN"/>
        </w:rPr>
      </w:pPr>
      <w:bookmarkStart w:id="18" w:name="_Toc16835"/>
      <w:r>
        <w:rPr>
          <w:rFonts w:hint="default"/>
          <w:lang w:val="en-US" w:eastAsia="zh-CN"/>
        </w:rPr>
        <w:t>调查诊断</w:t>
      </w:r>
      <w:bookmarkEnd w:id="18"/>
    </w:p>
    <w:p w14:paraId="4CE8E90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现场服务人员（一线或二线）应通过标准配置比对、日志分析等手段进行故障调查，定位根本原因。</w:t>
      </w:r>
    </w:p>
    <w:p w14:paraId="2221146A">
      <w:pPr>
        <w:pStyle w:val="31"/>
        <w:bidi w:val="0"/>
        <w:rPr>
          <w:rFonts w:hint="default"/>
          <w:lang w:val="en-US" w:eastAsia="zh-CN"/>
        </w:rPr>
      </w:pPr>
      <w:bookmarkStart w:id="19" w:name="_Toc23129"/>
      <w:r>
        <w:rPr>
          <w:rFonts w:hint="default"/>
          <w:lang w:val="en-US" w:eastAsia="zh-CN"/>
        </w:rPr>
        <w:t>确定解决方案</w:t>
      </w:r>
      <w:bookmarkEnd w:id="19"/>
    </w:p>
    <w:p w14:paraId="2281490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技术人员根据故障分析结果制定解决方案，并与客户沟通方案实施预计时长及可行性。若事件无法立即解决，须与客户商定解决时间。对于重大故障（高或中级），须提前完成数据备份。</w:t>
      </w:r>
    </w:p>
    <w:p w14:paraId="0C1DC22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若故障处理涉及一般、重大或紧急变更，应转入变更管理流程，依据《变更管理</w:t>
      </w:r>
      <w:r>
        <w:rPr>
          <w:rFonts w:hint="eastAsia"/>
          <w:lang w:val="en-US" w:eastAsia="zh-CN"/>
        </w:rPr>
        <w:t>制度</w:t>
      </w:r>
      <w:r>
        <w:rPr>
          <w:rFonts w:hint="default"/>
          <w:lang w:val="en-US" w:eastAsia="zh-CN"/>
        </w:rPr>
        <w:t>》执行。</w:t>
      </w:r>
    </w:p>
    <w:p w14:paraId="53F5173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事件解决后，故障现场负责人应进行评估，如属重大影响或频发问题，需转入问题管理流程进行根源分析，具体见《问题管理</w:t>
      </w:r>
      <w:r>
        <w:rPr>
          <w:rFonts w:hint="eastAsia"/>
          <w:lang w:val="en-US" w:eastAsia="zh-CN"/>
        </w:rPr>
        <w:t>制度</w:t>
      </w:r>
      <w:r>
        <w:rPr>
          <w:rFonts w:hint="default"/>
          <w:lang w:val="en-US" w:eastAsia="zh-CN"/>
        </w:rPr>
        <w:t>》。</w:t>
      </w:r>
    </w:p>
    <w:p w14:paraId="44C506CD">
      <w:pPr>
        <w:pStyle w:val="31"/>
        <w:bidi w:val="0"/>
        <w:rPr>
          <w:rFonts w:hint="default"/>
          <w:lang w:val="en-US" w:eastAsia="zh-CN"/>
        </w:rPr>
      </w:pPr>
      <w:bookmarkStart w:id="20" w:name="_Toc23221"/>
      <w:r>
        <w:rPr>
          <w:rFonts w:hint="default"/>
          <w:lang w:val="en-US" w:eastAsia="zh-CN"/>
        </w:rPr>
        <w:t>客户确认</w:t>
      </w:r>
      <w:bookmarkEnd w:id="20"/>
    </w:p>
    <w:p w14:paraId="1ED0977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事件处理完成后，由一线人员通过电话回访确认解决效果及客户满意度，并更新《日常维护工作记录表》。</w:t>
      </w:r>
    </w:p>
    <w:p w14:paraId="3D5E74EE">
      <w:pPr>
        <w:pStyle w:val="31"/>
        <w:bidi w:val="0"/>
        <w:rPr>
          <w:rFonts w:hint="default"/>
          <w:lang w:val="en-US" w:eastAsia="zh-CN"/>
        </w:rPr>
      </w:pPr>
      <w:bookmarkStart w:id="21" w:name="_Toc16121"/>
      <w:r>
        <w:rPr>
          <w:rFonts w:hint="default"/>
          <w:lang w:val="en-US" w:eastAsia="zh-CN"/>
        </w:rPr>
        <w:t>资料归档</w:t>
      </w:r>
      <w:bookmarkEnd w:id="21"/>
    </w:p>
    <w:p w14:paraId="31E179A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技术支持人员负责将《日常维护工作记录表》进行归档。</w:t>
      </w:r>
    </w:p>
    <w:p w14:paraId="4CC243B4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项目经理负责审核事件记录内容的完整性与准确性。</w:t>
      </w:r>
    </w:p>
    <w:p w14:paraId="59F535E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如事件处理导致配置项属性发生变化，由一线支持</w:t>
      </w:r>
      <w:r>
        <w:rPr>
          <w:rFonts w:hint="eastAsia"/>
          <w:lang w:val="en-US" w:eastAsia="zh-CN"/>
        </w:rPr>
        <w:t>人员</w:t>
      </w:r>
      <w:r>
        <w:rPr>
          <w:rFonts w:hint="default"/>
          <w:lang w:val="en-US" w:eastAsia="zh-CN"/>
        </w:rPr>
        <w:t>进行修改，流程见《配置管理</w:t>
      </w:r>
      <w:r>
        <w:rPr>
          <w:rFonts w:hint="eastAsia"/>
          <w:lang w:val="en-US" w:eastAsia="zh-CN"/>
        </w:rPr>
        <w:t>制度》</w:t>
      </w:r>
      <w:r>
        <w:rPr>
          <w:rFonts w:hint="default"/>
          <w:lang w:val="en-US" w:eastAsia="zh-CN"/>
        </w:rPr>
        <w:t>。</w:t>
      </w:r>
    </w:p>
    <w:p w14:paraId="7550A82B">
      <w:pPr>
        <w:pStyle w:val="31"/>
        <w:bidi w:val="0"/>
        <w:rPr>
          <w:rFonts w:hint="default"/>
          <w:lang w:val="en-US" w:eastAsia="zh-CN"/>
        </w:rPr>
      </w:pPr>
      <w:bookmarkStart w:id="22" w:name="_Toc22291"/>
      <w:r>
        <w:rPr>
          <w:rFonts w:hint="default"/>
          <w:lang w:val="en-US" w:eastAsia="zh-CN"/>
        </w:rPr>
        <w:t>事件报告</w:t>
      </w:r>
      <w:bookmarkEnd w:id="22"/>
    </w:p>
    <w:p w14:paraId="76772E0F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  <w:lang w:val="en-US" w:eastAsia="zh-CN"/>
        </w:rPr>
        <w:t>每月应对事件进行汇总与分类，编制事件报告并提交至平台运维组与研发组经理。报告内容包括但不限于：</w:t>
      </w:r>
    </w:p>
    <w:p w14:paraId="2FF063B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本月事件总数；</w:t>
      </w:r>
    </w:p>
    <w:p w14:paraId="213F407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本月服务响应率；</w:t>
      </w:r>
    </w:p>
    <w:p w14:paraId="6098BEA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一线支持解决事件数量；</w:t>
      </w:r>
    </w:p>
    <w:p w14:paraId="6DAEA234">
      <w:pPr>
        <w:pStyle w:val="29"/>
        <w:numPr>
          <w:ilvl w:val="0"/>
          <w:numId w:val="7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二线支持解决事件数量；</w:t>
      </w:r>
    </w:p>
    <w:p w14:paraId="633ED440">
      <w:pPr>
        <w:pStyle w:val="29"/>
        <w:numPr>
          <w:ilvl w:val="0"/>
          <w:numId w:val="7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事件数量趋势分析及预测；</w:t>
      </w:r>
    </w:p>
    <w:p w14:paraId="461AF3A3">
      <w:pPr>
        <w:pStyle w:val="29"/>
        <w:numPr>
          <w:ilvl w:val="0"/>
          <w:numId w:val="7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一线解决率；</w:t>
      </w:r>
    </w:p>
    <w:p w14:paraId="631D22AA">
      <w:pPr>
        <w:pStyle w:val="29"/>
        <w:numPr>
          <w:ilvl w:val="0"/>
          <w:numId w:val="7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一次现场解决率。</w:t>
      </w:r>
    </w:p>
    <w:p w14:paraId="53A03608">
      <w:pPr>
        <w:pStyle w:val="30"/>
        <w:bidi w:val="0"/>
        <w:rPr>
          <w:rFonts w:hint="default"/>
          <w:lang w:val="en-US" w:eastAsia="zh-CN"/>
        </w:rPr>
      </w:pPr>
      <w:bookmarkStart w:id="23" w:name="_Toc31093"/>
      <w:bookmarkStart w:id="24" w:name="_Toc8513"/>
      <w:r>
        <w:rPr>
          <w:rFonts w:hint="eastAsia"/>
          <w:lang w:val="en-US" w:eastAsia="zh-CN"/>
        </w:rPr>
        <w:t>考核指标</w:t>
      </w:r>
      <w:bookmarkEnd w:id="23"/>
      <w:bookmarkEnd w:id="24"/>
    </w:p>
    <w:tbl>
      <w:tblPr>
        <w:tblStyle w:val="21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3713"/>
        <w:gridCol w:w="1353"/>
        <w:gridCol w:w="1583"/>
      </w:tblGrid>
      <w:tr w14:paraId="068F8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1F4CB491">
            <w:pPr>
              <w:pStyle w:val="39"/>
              <w:widowControl w:val="0"/>
              <w:bidi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指标度量性</w:t>
            </w:r>
          </w:p>
        </w:tc>
        <w:tc>
          <w:tcPr>
            <w:tcW w:w="3713" w:type="dxa"/>
          </w:tcPr>
          <w:p w14:paraId="65E8D624">
            <w:pPr>
              <w:pStyle w:val="39"/>
              <w:widowControl w:val="0"/>
              <w:bidi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计算方式</w:t>
            </w:r>
          </w:p>
        </w:tc>
        <w:tc>
          <w:tcPr>
            <w:tcW w:w="1353" w:type="dxa"/>
          </w:tcPr>
          <w:p w14:paraId="47FCFB09">
            <w:pPr>
              <w:pStyle w:val="39"/>
              <w:widowControl w:val="0"/>
              <w:bidi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频次</w:t>
            </w:r>
          </w:p>
        </w:tc>
        <w:tc>
          <w:tcPr>
            <w:tcW w:w="1583" w:type="dxa"/>
          </w:tcPr>
          <w:p w14:paraId="58C7156F">
            <w:pPr>
              <w:pStyle w:val="39"/>
              <w:widowControl w:val="0"/>
              <w:bidi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指标要求</w:t>
            </w:r>
          </w:p>
        </w:tc>
      </w:tr>
      <w:tr w14:paraId="62A6D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964" w:type="dxa"/>
          </w:tcPr>
          <w:p w14:paraId="4D819710">
            <w:pPr>
              <w:pStyle w:val="39"/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事件及时响应率</w:t>
            </w:r>
          </w:p>
        </w:tc>
        <w:tc>
          <w:tcPr>
            <w:tcW w:w="3713" w:type="dxa"/>
            <w:shd w:val="clear" w:color="auto" w:fill="auto"/>
          </w:tcPr>
          <w:p w14:paraId="60E2ADFF">
            <w:pPr>
              <w:pStyle w:val="39"/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月度及时响应的事件/月度总事件*100%</w:t>
            </w:r>
          </w:p>
        </w:tc>
        <w:tc>
          <w:tcPr>
            <w:tcW w:w="1353" w:type="dxa"/>
          </w:tcPr>
          <w:p w14:paraId="13B20B1C">
            <w:pPr>
              <w:pStyle w:val="39"/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583" w:type="dxa"/>
          </w:tcPr>
          <w:p w14:paraId="30056BE9">
            <w:pPr>
              <w:pStyle w:val="39"/>
              <w:widowControl w:val="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≥95%</w:t>
            </w:r>
          </w:p>
        </w:tc>
      </w:tr>
    </w:tbl>
    <w:p w14:paraId="207DD210">
      <w:pPr>
        <w:pStyle w:val="29"/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/>
          <w:lang w:val="en-US" w:eastAsia="zh-CN"/>
        </w:rPr>
      </w:pPr>
    </w:p>
    <w:p w14:paraId="53DFD6BB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25" w:name="bookmark3"/>
      <w:bookmarkEnd w:id="25"/>
      <w:bookmarkStart w:id="26" w:name="_Toc17424"/>
      <w:bookmarkStart w:id="27" w:name="_Toc10164"/>
      <w:r>
        <w:rPr>
          <w:rStyle w:val="38"/>
          <w:rFonts w:hint="eastAsia" w:eastAsia="宋体"/>
          <w:lang w:val="en-US" w:eastAsia="zh-CN"/>
        </w:rPr>
        <w:t>附则</w:t>
      </w:r>
      <w:bookmarkEnd w:id="26"/>
      <w:bookmarkEnd w:id="27"/>
    </w:p>
    <w:p w14:paraId="70F96960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平台运维组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2D6BB0BF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008CF2DB">
      <w:pPr>
        <w:pStyle w:val="28"/>
        <w:bidi w:val="0"/>
        <w:rPr>
          <w:rFonts w:hint="default"/>
          <w:lang w:val="en-US" w:eastAsia="zh-CN"/>
        </w:rPr>
      </w:pPr>
      <w:bookmarkStart w:id="28" w:name="bookmark14"/>
      <w:bookmarkEnd w:id="28"/>
      <w:bookmarkStart w:id="29" w:name="_Toc20506"/>
      <w:r>
        <w:rPr>
          <w:rFonts w:hint="eastAsia"/>
          <w:lang w:val="en-US" w:eastAsia="zh-CN"/>
        </w:rPr>
        <w:t>附件</w:t>
      </w:r>
      <w:bookmarkEnd w:id="29"/>
    </w:p>
    <w:p w14:paraId="2C828B17">
      <w:pPr>
        <w:pStyle w:val="39"/>
        <w:bidi w:val="0"/>
      </w:pPr>
      <w:r>
        <w:t>《问题管理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294F8287">
      <w:pPr>
        <w:pStyle w:val="39"/>
        <w:bidi w:val="0"/>
      </w:pPr>
      <w:r>
        <w:t>《变更管理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42AA847D">
      <w:pPr>
        <w:pStyle w:val="39"/>
        <w:bidi w:val="0"/>
      </w:pPr>
      <w:r>
        <w:t>《配置管理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4B0E76DE">
      <w:pPr>
        <w:pStyle w:val="39"/>
        <w:bidi w:val="0"/>
      </w:pPr>
      <w:r>
        <w:t>《服务报告管理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6EDBFF9C">
      <w:pPr>
        <w:pStyle w:val="28"/>
        <w:bidi w:val="0"/>
        <w:rPr>
          <w:rFonts w:hint="eastAsia"/>
          <w:lang w:val="en-US" w:eastAsia="zh-CN"/>
        </w:rPr>
      </w:pPr>
      <w:bookmarkStart w:id="30" w:name="_Toc9114"/>
      <w:r>
        <w:rPr>
          <w:rFonts w:hint="eastAsia"/>
          <w:lang w:val="en-US" w:eastAsia="zh-CN"/>
        </w:rPr>
        <w:t>记录</w:t>
      </w:r>
      <w:bookmarkEnd w:id="30"/>
    </w:p>
    <w:p w14:paraId="48BC6144">
      <w:pPr>
        <w:pStyle w:val="39"/>
        <w:bidi w:val="0"/>
        <w:rPr>
          <w:rFonts w:hint="eastAsia"/>
          <w:lang w:val="en-US" w:eastAsia="zh-CN"/>
        </w:rPr>
      </w:pPr>
      <w:r>
        <w:t>《</w:t>
      </w:r>
      <w:r>
        <w:rPr>
          <w:rFonts w:hint="default"/>
          <w:lang w:val="en-US" w:eastAsia="zh-CN"/>
        </w:rPr>
        <w:t>日常维护工作记录表</w:t>
      </w:r>
      <w:r>
        <w:t>》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D56F3F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BA9B9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447A9A8"/>
    <w:multiLevelType w:val="singleLevel"/>
    <w:tmpl w:val="A447A9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BE0E95B"/>
    <w:multiLevelType w:val="singleLevel"/>
    <w:tmpl w:val="ABE0E95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9EE2DF8"/>
    <w:multiLevelType w:val="singleLevel"/>
    <w:tmpl w:val="E9EE2DF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1ED4AD67"/>
    <w:multiLevelType w:val="singleLevel"/>
    <w:tmpl w:val="1ED4AD6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1F3B6B3F"/>
    <w:multiLevelType w:val="singleLevel"/>
    <w:tmpl w:val="1F3B6B3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34AFD62"/>
    <w:multiLevelType w:val="singleLevel"/>
    <w:tmpl w:val="634AFD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5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BC7892"/>
    <w:rsid w:val="11B36778"/>
    <w:rsid w:val="12172607"/>
    <w:rsid w:val="154716B1"/>
    <w:rsid w:val="213351E0"/>
    <w:rsid w:val="39F42B59"/>
    <w:rsid w:val="4E9B6EC9"/>
    <w:rsid w:val="590D5D3B"/>
    <w:rsid w:val="5AA61FA3"/>
    <w:rsid w:val="68AB344B"/>
    <w:rsid w:val="6D1C7556"/>
    <w:rsid w:val="70343755"/>
    <w:rsid w:val="7422500A"/>
    <w:rsid w:val="75BF1D13"/>
    <w:rsid w:val="77976AA4"/>
    <w:rsid w:val="7D96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paragraph" w:customStyle="1" w:styleId="42">
    <w:name w:val="列出段落1"/>
    <w:basedOn w:val="1"/>
    <w:qFormat/>
    <w:uiPriority w:val="34"/>
    <w:pPr>
      <w:spacing w:line="264" w:lineRule="auto"/>
      <w:ind w:firstLine="420" w:firstLineChars="200"/>
      <w:jc w:val="left"/>
    </w:pPr>
    <w:rPr>
      <w:rFonts w:ascii="Verdana" w:hAnsi="Verdana"/>
      <w:szCs w:val="21"/>
    </w:rPr>
  </w:style>
  <w:style w:type="paragraph" w:styleId="4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e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2151</Words>
  <Characters>2297</Characters>
  <Lines>0</Lines>
  <Paragraphs>0</Paragraphs>
  <TotalTime>0</TotalTime>
  <ScaleCrop>false</ScaleCrop>
  <LinksUpToDate>false</LinksUpToDate>
  <CharactersWithSpaces>2397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2025-12-24T19:17:13Z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