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610420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2-02</w:t>
      </w:r>
    </w:p>
    <w:p w14:paraId="53834D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6ECEF788">
      <w:pPr>
        <w:pStyle w:val="24"/>
        <w:bidi w:val="0"/>
      </w:pPr>
      <w:bookmarkStart w:id="0" w:name="_Toc19195"/>
      <w:r>
        <w:rPr>
          <w:rFonts w:hint="eastAsia"/>
          <w:lang w:val="en-US" w:eastAsia="zh-CN"/>
        </w:rPr>
        <w:t>青岛瑞源工程集团有限公司</w:t>
      </w:r>
      <w:bookmarkEnd w:id="0"/>
    </w:p>
    <w:p w14:paraId="421D0B68">
      <w:pPr>
        <w:pStyle w:val="25"/>
        <w:bidi w:val="0"/>
        <w:rPr>
          <w:rFonts w:hint="default"/>
          <w:lang w:val="en-US"/>
        </w:rPr>
      </w:pPr>
      <w:bookmarkStart w:id="1" w:name="_Toc25484"/>
      <w:r>
        <w:rPr>
          <w:rFonts w:hint="eastAsia"/>
          <w:lang w:val="en-US" w:eastAsia="zh-CN"/>
        </w:rPr>
        <w:t>可用性管理报告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5727AB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5BA0CBE0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张秀才</w:t>
            </w:r>
          </w:p>
        </w:tc>
        <w:tc>
          <w:tcPr>
            <w:tcW w:w="4261" w:type="dxa"/>
          </w:tcPr>
          <w:p w14:paraId="1910D943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1BB08C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497399B5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05"/>
                <w:kern w:val="0"/>
                <w:u w:val="single"/>
                <w:fitText w:val="630" w:id="194908820"/>
                <w:vertAlign w:val="baseline"/>
                <w:lang w:val="en-US" w:eastAsia="zh-CN"/>
              </w:rPr>
              <w:t>宋</w:t>
            </w:r>
            <w:r>
              <w:rPr>
                <w:rFonts w:hint="eastAsia"/>
                <w:spacing w:val="0"/>
                <w:kern w:val="0"/>
                <w:u w:val="single"/>
                <w:fitText w:val="630" w:id="194908820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 w14:paraId="32A67319">
            <w:pPr>
              <w:widowControl w:val="0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3571C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7E73B3F4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258B9CE3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</w:tbl>
    <w:p w14:paraId="35456CD9">
      <w:r>
        <w:br w:type="page"/>
      </w:r>
    </w:p>
    <w:p w14:paraId="31D75BF7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4F1619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2E065A20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6676A39C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2D907B6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797B3474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2EE49331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2C9A99FB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F5680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C9F4F2E">
            <w:pPr>
              <w:spacing w:before="173" w:line="267" w:lineRule="exact"/>
              <w:ind w:left="260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2025.10.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19" w:type="dxa"/>
          </w:tcPr>
          <w:p w14:paraId="7525E502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4999F3F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05939D14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张秀才</w:t>
            </w:r>
          </w:p>
        </w:tc>
        <w:tc>
          <w:tcPr>
            <w:tcW w:w="1150" w:type="dxa"/>
          </w:tcPr>
          <w:p w14:paraId="22C4B14A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115"/>
                <w:kern w:val="0"/>
                <w:sz w:val="20"/>
                <w:szCs w:val="20"/>
                <w:fitText w:val="630" w:id="98438293"/>
                <w:lang w:val="en-US" w:eastAsia="zh-CN"/>
              </w:rPr>
              <w:t>宋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fitText w:val="630" w:id="98438293"/>
                <w:lang w:val="en-US" w:eastAsia="zh-CN"/>
              </w:rPr>
              <w:t>振</w:t>
            </w:r>
          </w:p>
        </w:tc>
        <w:tc>
          <w:tcPr>
            <w:tcW w:w="1240" w:type="dxa"/>
          </w:tcPr>
          <w:p w14:paraId="59025D82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4159F7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D6A9AD8">
            <w:pPr>
              <w:pStyle w:val="27"/>
            </w:pPr>
          </w:p>
        </w:tc>
        <w:tc>
          <w:tcPr>
            <w:tcW w:w="919" w:type="dxa"/>
          </w:tcPr>
          <w:p w14:paraId="368DB517">
            <w:pPr>
              <w:pStyle w:val="27"/>
            </w:pPr>
          </w:p>
        </w:tc>
        <w:tc>
          <w:tcPr>
            <w:tcW w:w="2289" w:type="dxa"/>
          </w:tcPr>
          <w:p w14:paraId="5E587EE1">
            <w:pPr>
              <w:pStyle w:val="27"/>
            </w:pPr>
          </w:p>
        </w:tc>
        <w:tc>
          <w:tcPr>
            <w:tcW w:w="1148" w:type="dxa"/>
          </w:tcPr>
          <w:p w14:paraId="107A3593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49FE4CCB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4B8F0E65">
            <w:pPr>
              <w:pStyle w:val="27"/>
            </w:pPr>
          </w:p>
        </w:tc>
      </w:tr>
      <w:tr w14:paraId="38BBAC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7D2D62B">
            <w:pPr>
              <w:pStyle w:val="27"/>
            </w:pPr>
          </w:p>
        </w:tc>
        <w:tc>
          <w:tcPr>
            <w:tcW w:w="919" w:type="dxa"/>
          </w:tcPr>
          <w:p w14:paraId="31F90829">
            <w:pPr>
              <w:pStyle w:val="27"/>
            </w:pPr>
          </w:p>
        </w:tc>
        <w:tc>
          <w:tcPr>
            <w:tcW w:w="2289" w:type="dxa"/>
          </w:tcPr>
          <w:p w14:paraId="60C4FA89">
            <w:pPr>
              <w:pStyle w:val="27"/>
            </w:pPr>
          </w:p>
        </w:tc>
        <w:tc>
          <w:tcPr>
            <w:tcW w:w="1148" w:type="dxa"/>
          </w:tcPr>
          <w:p w14:paraId="5F8A81FE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1D4E0AF9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3F5E2F97">
            <w:pPr>
              <w:pStyle w:val="27"/>
            </w:pPr>
          </w:p>
        </w:tc>
      </w:tr>
      <w:tr w14:paraId="741DCA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5FA453AD">
            <w:pPr>
              <w:pStyle w:val="27"/>
            </w:pPr>
          </w:p>
        </w:tc>
        <w:tc>
          <w:tcPr>
            <w:tcW w:w="919" w:type="dxa"/>
          </w:tcPr>
          <w:p w14:paraId="6B0846A5">
            <w:pPr>
              <w:pStyle w:val="27"/>
            </w:pPr>
          </w:p>
        </w:tc>
        <w:tc>
          <w:tcPr>
            <w:tcW w:w="2289" w:type="dxa"/>
          </w:tcPr>
          <w:p w14:paraId="2D94A4C5">
            <w:pPr>
              <w:pStyle w:val="27"/>
            </w:pPr>
          </w:p>
        </w:tc>
        <w:tc>
          <w:tcPr>
            <w:tcW w:w="1148" w:type="dxa"/>
          </w:tcPr>
          <w:p w14:paraId="3645CC33">
            <w:pPr>
              <w:pStyle w:val="27"/>
            </w:pPr>
          </w:p>
        </w:tc>
        <w:tc>
          <w:tcPr>
            <w:tcW w:w="1150" w:type="dxa"/>
          </w:tcPr>
          <w:p w14:paraId="00E89DF2">
            <w:pPr>
              <w:pStyle w:val="27"/>
            </w:pPr>
          </w:p>
        </w:tc>
        <w:tc>
          <w:tcPr>
            <w:tcW w:w="1240" w:type="dxa"/>
          </w:tcPr>
          <w:p w14:paraId="272E6E2A">
            <w:pPr>
              <w:pStyle w:val="27"/>
            </w:pPr>
          </w:p>
        </w:tc>
      </w:tr>
      <w:tr w14:paraId="2D4194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FFA693F">
            <w:pPr>
              <w:pStyle w:val="27"/>
            </w:pPr>
          </w:p>
        </w:tc>
        <w:tc>
          <w:tcPr>
            <w:tcW w:w="919" w:type="dxa"/>
          </w:tcPr>
          <w:p w14:paraId="3A0131A3">
            <w:pPr>
              <w:pStyle w:val="27"/>
            </w:pPr>
          </w:p>
        </w:tc>
        <w:tc>
          <w:tcPr>
            <w:tcW w:w="2289" w:type="dxa"/>
          </w:tcPr>
          <w:p w14:paraId="05D678FC">
            <w:pPr>
              <w:pStyle w:val="27"/>
            </w:pPr>
          </w:p>
        </w:tc>
        <w:tc>
          <w:tcPr>
            <w:tcW w:w="1148" w:type="dxa"/>
          </w:tcPr>
          <w:p w14:paraId="572E9A8D">
            <w:pPr>
              <w:pStyle w:val="27"/>
            </w:pPr>
          </w:p>
        </w:tc>
        <w:tc>
          <w:tcPr>
            <w:tcW w:w="1150" w:type="dxa"/>
          </w:tcPr>
          <w:p w14:paraId="2608819A">
            <w:pPr>
              <w:pStyle w:val="27"/>
            </w:pPr>
          </w:p>
        </w:tc>
        <w:tc>
          <w:tcPr>
            <w:tcW w:w="1240" w:type="dxa"/>
          </w:tcPr>
          <w:p w14:paraId="64A0B43F">
            <w:pPr>
              <w:pStyle w:val="27"/>
            </w:pPr>
          </w:p>
        </w:tc>
      </w:tr>
      <w:tr w14:paraId="1C7B55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400DC3E2">
            <w:pPr>
              <w:pStyle w:val="27"/>
            </w:pPr>
          </w:p>
        </w:tc>
        <w:tc>
          <w:tcPr>
            <w:tcW w:w="919" w:type="dxa"/>
          </w:tcPr>
          <w:p w14:paraId="6A90A39A">
            <w:pPr>
              <w:pStyle w:val="27"/>
            </w:pPr>
          </w:p>
        </w:tc>
        <w:tc>
          <w:tcPr>
            <w:tcW w:w="2289" w:type="dxa"/>
          </w:tcPr>
          <w:p w14:paraId="47666EDE">
            <w:pPr>
              <w:pStyle w:val="27"/>
            </w:pPr>
          </w:p>
        </w:tc>
        <w:tc>
          <w:tcPr>
            <w:tcW w:w="1148" w:type="dxa"/>
          </w:tcPr>
          <w:p w14:paraId="258ABAE5">
            <w:pPr>
              <w:pStyle w:val="27"/>
            </w:pPr>
          </w:p>
        </w:tc>
        <w:tc>
          <w:tcPr>
            <w:tcW w:w="1150" w:type="dxa"/>
          </w:tcPr>
          <w:p w14:paraId="0D8040F4">
            <w:pPr>
              <w:pStyle w:val="27"/>
            </w:pPr>
          </w:p>
        </w:tc>
        <w:tc>
          <w:tcPr>
            <w:tcW w:w="1240" w:type="dxa"/>
          </w:tcPr>
          <w:p w14:paraId="4CD6FDFD">
            <w:pPr>
              <w:pStyle w:val="27"/>
            </w:pPr>
          </w:p>
        </w:tc>
      </w:tr>
    </w:tbl>
    <w:p w14:paraId="0630DF79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5C3916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78C7401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_Toc19195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_Toc19195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802D4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_Toc25484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可用性管理报告</w:t>
          </w:r>
          <w:r>
            <w:tab/>
          </w:r>
          <w:r>
            <w:fldChar w:fldCharType="begin"/>
          </w:r>
          <w:r>
            <w:instrText xml:space="preserve"> PAGEREF _Toc25484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D1602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_Toc9777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报告摘要</w:t>
          </w:r>
          <w:r>
            <w:tab/>
          </w:r>
          <w:r>
            <w:fldChar w:fldCharType="begin"/>
          </w:r>
          <w:r>
            <w:instrText xml:space="preserve"> PAGEREF _Toc9777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54E97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_Toc9828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可用性绩效数据</w:t>
          </w:r>
          <w:r>
            <w:tab/>
          </w:r>
          <w:r>
            <w:fldChar w:fldCharType="begin"/>
          </w:r>
          <w:r>
            <w:instrText xml:space="preserve"> PAGEREF _Toc9828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C63AE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_Toc17874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《可用性计划》执行情况总结</w:t>
          </w:r>
          <w:r>
            <w:tab/>
          </w:r>
          <w:r>
            <w:fldChar w:fldCharType="begin"/>
          </w:r>
          <w:r>
            <w:instrText xml:space="preserve"> PAGEREF _Toc17874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32A49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_Toc24102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改进建议</w:t>
          </w:r>
          <w:r>
            <w:tab/>
          </w:r>
          <w:r>
            <w:fldChar w:fldCharType="begin"/>
          </w:r>
          <w:r>
            <w:instrText xml:space="preserve"> PAGEREF _Toc24102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96840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_Toc27968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结论</w:t>
          </w:r>
          <w:r>
            <w:tab/>
          </w:r>
          <w:r>
            <w:fldChar w:fldCharType="begin"/>
          </w:r>
          <w:r>
            <w:instrText xml:space="preserve"> PAGEREF _Toc27968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881A53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E61670A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5CD1DFD7">
      <w:pPr>
        <w:pStyle w:val="28"/>
        <w:bidi w:val="0"/>
      </w:pPr>
      <w:bookmarkStart w:id="2" w:name="bookmark14"/>
      <w:bookmarkEnd w:id="2"/>
      <w:bookmarkStart w:id="3" w:name="_Toc9777"/>
      <w:r>
        <w:t>报告摘要</w:t>
      </w:r>
      <w:bookmarkEnd w:id="3"/>
    </w:p>
    <w:p w14:paraId="4AB60912">
      <w:pPr>
        <w:pStyle w:val="29"/>
        <w:bidi w:val="0"/>
      </w:pPr>
      <w:r>
        <w:t>本报告旨在总结</w:t>
      </w:r>
      <w:r>
        <w:rPr>
          <w:rFonts w:hint="eastAsia"/>
          <w:lang w:val="en-US" w:eastAsia="zh-CN"/>
        </w:rPr>
        <w:t>截止目前</w:t>
      </w:r>
      <w:r>
        <w:t>运维服务体系的整体可用性表现。</w:t>
      </w:r>
      <w:r>
        <w:rPr>
          <w:rFonts w:hint="eastAsia"/>
          <w:lang w:val="en-US" w:eastAsia="zh-CN"/>
        </w:rPr>
        <w:t>服务期内，</w:t>
      </w:r>
      <w:r>
        <w:t>我们严格遵循《可用性</w:t>
      </w:r>
      <w:r>
        <w:rPr>
          <w:rFonts w:hint="eastAsia"/>
          <w:lang w:val="en-US" w:eastAsia="zh-CN"/>
        </w:rPr>
        <w:t>管理</w:t>
      </w:r>
      <w:r>
        <w:t>计划》开展各项工作，核心系统全年整体可用性达到了99.85%，成功满足了《可用性</w:t>
      </w:r>
      <w:r>
        <w:rPr>
          <w:rFonts w:hint="eastAsia"/>
          <w:lang w:val="en-US" w:eastAsia="zh-CN"/>
        </w:rPr>
        <w:t>管理</w:t>
      </w:r>
      <w:r>
        <w:t>计划》中“7*24小时”的核心要求。</w:t>
      </w:r>
      <w:r>
        <w:rPr>
          <w:rFonts w:hint="eastAsia"/>
          <w:lang w:val="en-US" w:eastAsia="zh-CN"/>
        </w:rPr>
        <w:t>截止2025年10月</w:t>
      </w:r>
      <w:r>
        <w:t>共处理计划内维护12次，应急故障事件5起，所有维护及故障响应均符合SLA承诺。本报告将详细分析可用性数据、总结计划执行情况、回顾重大事件并提出改进建议。</w:t>
      </w:r>
    </w:p>
    <w:p w14:paraId="75B735D8">
      <w:pPr>
        <w:pStyle w:val="28"/>
        <w:bidi w:val="0"/>
      </w:pPr>
      <w:bookmarkStart w:id="4" w:name="_Toc9828"/>
      <w:r>
        <w:t>可用性绩效数据</w:t>
      </w:r>
      <w:bookmarkEnd w:id="4"/>
    </w:p>
    <w:tbl>
      <w:tblPr>
        <w:tblStyle w:val="26"/>
        <w:tblW w:w="8824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1"/>
        <w:gridCol w:w="2157"/>
        <w:gridCol w:w="3685"/>
        <w:gridCol w:w="1401"/>
      </w:tblGrid>
      <w:tr w14:paraId="1D6C5414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1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F38763">
            <w:pPr>
              <w:pStyle w:val="27"/>
              <w:spacing w:before="150" w:line="186" w:lineRule="auto"/>
              <w:ind w:left="19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3"/>
              </w:rPr>
              <w:t>指标</w:t>
            </w:r>
          </w:p>
        </w:tc>
        <w:tc>
          <w:tcPr>
            <w:tcW w:w="2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E221EF">
            <w:pPr>
              <w:pStyle w:val="27"/>
              <w:spacing w:before="150" w:line="186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4"/>
              </w:rPr>
              <w:t>《可用性计划》要求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DBF957">
            <w:pPr>
              <w:pStyle w:val="27"/>
              <w:spacing w:before="149" w:line="187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cs="宋体"/>
                <w:b/>
                <w:bCs/>
                <w:color w:val="333333"/>
                <w:spacing w:val="-8"/>
                <w:lang w:val="en-US" w:eastAsia="zh-CN"/>
              </w:rPr>
              <w:t>截止</w:t>
            </w: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-8"/>
                <w:lang w:eastAsia="zh-CN"/>
              </w:rPr>
              <w:t>2025</w:t>
            </w: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-8"/>
              </w:rPr>
              <w:t>年</w:t>
            </w:r>
            <w:r>
              <w:rPr>
                <w:rFonts w:hint="eastAsia" w:cs="宋体"/>
                <w:b/>
                <w:bCs/>
                <w:color w:val="333333"/>
                <w:spacing w:val="-8"/>
                <w:lang w:val="en-US" w:eastAsia="zh-CN"/>
              </w:rPr>
              <w:t>10月</w:t>
            </w:r>
            <w:bookmarkStart w:id="8" w:name="_GoBack"/>
            <w:bookmarkEnd w:id="8"/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-8"/>
              </w:rPr>
              <w:t>实际表现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236E71">
            <w:pPr>
              <w:pStyle w:val="27"/>
              <w:spacing w:before="148" w:line="187" w:lineRule="auto"/>
              <w:ind w:left="20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4"/>
              </w:rPr>
              <w:t>符合性评估</w:t>
            </w:r>
          </w:p>
        </w:tc>
      </w:tr>
      <w:tr w14:paraId="04F57EB2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1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6A76E8">
            <w:pPr>
              <w:pStyle w:val="27"/>
              <w:spacing w:before="145" w:line="186" w:lineRule="auto"/>
              <w:ind w:left="196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4"/>
              </w:rPr>
              <w:t>整体可用性</w:t>
            </w:r>
          </w:p>
        </w:tc>
        <w:tc>
          <w:tcPr>
            <w:tcW w:w="2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FFB4F3">
            <w:pPr>
              <w:pStyle w:val="27"/>
              <w:spacing w:before="106" w:line="237" w:lineRule="auto"/>
              <w:ind w:left="19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pacing w:val="-7"/>
              </w:rPr>
              <w:t>7*24小时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29A733">
            <w:pPr>
              <w:spacing w:before="106" w:line="257" w:lineRule="exact"/>
              <w:ind w:left="203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4"/>
                <w:position w:val="1"/>
                <w:sz w:val="19"/>
                <w:szCs w:val="19"/>
              </w:rPr>
              <w:t>99.85%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2C5685">
            <w:pPr>
              <w:pStyle w:val="27"/>
              <w:spacing w:before="144" w:line="187" w:lineRule="auto"/>
              <w:ind w:left="20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3"/>
              </w:rPr>
              <w:t>符合</w:t>
            </w:r>
          </w:p>
        </w:tc>
      </w:tr>
      <w:tr w14:paraId="2179D30A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1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A11449">
            <w:pPr>
              <w:pStyle w:val="27"/>
              <w:spacing w:before="147" w:line="187" w:lineRule="auto"/>
              <w:ind w:left="19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4"/>
              </w:rPr>
              <w:t>计划内</w:t>
            </w:r>
            <w:r>
              <w:rPr>
                <w:rFonts w:hint="eastAsia" w:cs="宋体"/>
                <w:b/>
                <w:bCs/>
                <w:color w:val="333333"/>
                <w:spacing w:val="4"/>
                <w:lang w:val="en-US" w:eastAsia="zh-CN"/>
              </w:rPr>
              <w:t>停</w:t>
            </w: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4"/>
              </w:rPr>
              <w:t>机</w:t>
            </w:r>
          </w:p>
        </w:tc>
        <w:tc>
          <w:tcPr>
            <w:tcW w:w="2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C34B2B">
            <w:pPr>
              <w:pStyle w:val="27"/>
              <w:spacing w:before="146" w:line="188" w:lineRule="auto"/>
              <w:ind w:left="192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pacing w:val="4"/>
              </w:rPr>
              <w:t>提前通知，避开高峰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3B637D">
            <w:pPr>
              <w:pStyle w:val="27"/>
              <w:spacing w:before="109" w:line="234" w:lineRule="auto"/>
              <w:ind w:left="211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pacing w:val="1"/>
              </w:rPr>
              <w:t>12次，均提前3天通知，并于晚间进行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FD2EE3">
            <w:pPr>
              <w:pStyle w:val="27"/>
              <w:spacing w:before="147" w:line="187" w:lineRule="auto"/>
              <w:ind w:left="20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3"/>
              </w:rPr>
              <w:t>符合</w:t>
            </w:r>
          </w:p>
        </w:tc>
      </w:tr>
      <w:tr w14:paraId="35C14851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1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30EE81">
            <w:pPr>
              <w:pStyle w:val="27"/>
              <w:spacing w:before="151" w:line="187" w:lineRule="auto"/>
              <w:ind w:left="20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4"/>
              </w:rPr>
              <w:t>故障响应时间</w:t>
            </w:r>
          </w:p>
        </w:tc>
        <w:tc>
          <w:tcPr>
            <w:tcW w:w="2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83C012">
            <w:pPr>
              <w:pStyle w:val="27"/>
              <w:spacing w:before="113" w:line="235" w:lineRule="auto"/>
              <w:ind w:left="19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pacing w:val="2"/>
              </w:rPr>
              <w:t>4小时内到场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882F3F">
            <w:pPr>
              <w:pStyle w:val="27"/>
              <w:spacing w:before="113" w:line="234" w:lineRule="auto"/>
              <w:ind w:left="206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</w:rPr>
              <w:t>5起事件，平均到场时间3.2小时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DA6F00">
            <w:pPr>
              <w:pStyle w:val="27"/>
              <w:spacing w:before="151" w:line="187" w:lineRule="auto"/>
              <w:ind w:left="20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3"/>
              </w:rPr>
              <w:t>符合</w:t>
            </w:r>
          </w:p>
        </w:tc>
      </w:tr>
      <w:tr w14:paraId="1D5436B5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1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B23EE9">
            <w:pPr>
              <w:pStyle w:val="27"/>
              <w:spacing w:before="154" w:line="187" w:lineRule="auto"/>
              <w:ind w:left="20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4"/>
              </w:rPr>
              <w:t>故障修复时间</w:t>
            </w:r>
          </w:p>
        </w:tc>
        <w:tc>
          <w:tcPr>
            <w:tcW w:w="2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B14F84">
            <w:pPr>
              <w:pStyle w:val="27"/>
              <w:spacing w:before="116" w:line="234" w:lineRule="auto"/>
              <w:ind w:left="199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</w:rPr>
              <w:t>24小时内修复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CE0B64">
            <w:pPr>
              <w:pStyle w:val="27"/>
              <w:spacing w:before="116" w:line="234" w:lineRule="auto"/>
              <w:ind w:left="206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</w:rPr>
              <w:t>5起事件，平均修复时间11.4小时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84C05E">
            <w:pPr>
              <w:pStyle w:val="27"/>
              <w:spacing w:before="154" w:line="187" w:lineRule="auto"/>
              <w:ind w:left="203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3"/>
              </w:rPr>
              <w:t>符合</w:t>
            </w:r>
          </w:p>
        </w:tc>
      </w:tr>
    </w:tbl>
    <w:p w14:paraId="749376AC">
      <w:pPr>
        <w:pStyle w:val="28"/>
        <w:bidi w:val="0"/>
      </w:pPr>
      <w:bookmarkStart w:id="5" w:name="_Toc17874"/>
      <w:r>
        <w:t>《可用性计划》执行情况总结</w:t>
      </w:r>
      <w:bookmarkEnd w:id="5"/>
    </w:p>
    <w:p w14:paraId="7B92EFB3">
      <w:pPr>
        <w:pStyle w:val="29"/>
        <w:bidi w:val="0"/>
      </w:pPr>
      <w:r>
        <w:t>日常监控与巡检：计划完成人工巡检，填写《巡检记录表》，发现并处理潜在风险3起（如磁盘空间告警、日志错误异常）。软件监控系统持续运行，有效预警了2次潜在故障。</w:t>
      </w:r>
    </w:p>
    <w:p w14:paraId="43F4440E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维护与恢复：全年执行计划内维护12次（包括系统升级、安全补丁安装），均严格遵守窗口时间要求。所有5起突发故障事件均按恢复方案在规定时间内完成处理。</w:t>
      </w:r>
    </w:p>
    <w:p w14:paraId="6E79ACC9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资源配备：专职维护人员与全套工具配备齐全，有效保障了维护与应急响应工作的执行效率。</w:t>
      </w:r>
    </w:p>
    <w:p w14:paraId="492BD533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立即措施：更换故障硬盘，升级所有硬盘固件版本。</w:t>
      </w:r>
    </w:p>
    <w:p w14:paraId="181C96E2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预防措施：将</w:t>
      </w:r>
      <w:r>
        <w:rPr>
          <w:rFonts w:hint="eastAsia"/>
          <w:lang w:eastAsia="zh-CN"/>
        </w:rPr>
        <w:t>“</w:t>
      </w:r>
      <w:r>
        <w:t>存储设备固件兼容性检查</w:t>
      </w:r>
      <w:r>
        <w:rPr>
          <w:rFonts w:hint="eastAsia"/>
          <w:lang w:eastAsia="zh-CN"/>
        </w:rPr>
        <w:t>”</w:t>
      </w:r>
      <w:r>
        <w:t>加入月度巡检清单；每季度对热备盘进行一次有效性验证测试。</w:t>
      </w:r>
    </w:p>
    <w:p w14:paraId="148BD3C4">
      <w:r>
        <w:br w:type="page"/>
      </w:r>
    </w:p>
    <w:p w14:paraId="468C2437">
      <w:pPr>
        <w:pStyle w:val="28"/>
        <w:bidi w:val="0"/>
      </w:pPr>
      <w:bookmarkStart w:id="6" w:name="_Toc24102"/>
      <w:r>
        <w:t>改进建议</w:t>
      </w:r>
      <w:bookmarkEnd w:id="6"/>
    </w:p>
    <w:p w14:paraId="410E456D">
      <w:pPr>
        <w:pStyle w:val="29"/>
        <w:bidi w:val="0"/>
      </w:pPr>
      <w:r>
        <w:rPr>
          <w:rFonts w:hint="eastAsia"/>
          <w:lang w:val="en-US" w:eastAsia="zh-CN"/>
        </w:rPr>
        <w:t>截止目前，</w:t>
      </w:r>
      <w:r>
        <w:t>基于可用性数据及事件分析，为持续提升可用性，提出以下建议：</w:t>
      </w:r>
    </w:p>
    <w:p w14:paraId="3222F484">
      <w:pPr>
        <w:pStyle w:val="29"/>
        <w:numPr>
          <w:ilvl w:val="0"/>
          <w:numId w:val="3"/>
        </w:numPr>
        <w:bidi w:val="0"/>
        <w:ind w:left="425" w:leftChars="0" w:hanging="425" w:firstLineChars="0"/>
      </w:pPr>
      <w:r>
        <w:t>技术优化：建议评估并引入更高可用性的数据库架构（如主从复制），以降低单点故障风险。</w:t>
      </w:r>
    </w:p>
    <w:p w14:paraId="4FA2F2E2">
      <w:pPr>
        <w:pStyle w:val="29"/>
        <w:numPr>
          <w:ilvl w:val="0"/>
          <w:numId w:val="3"/>
        </w:numPr>
        <w:bidi w:val="0"/>
        <w:ind w:left="425" w:leftChars="0" w:hanging="425" w:firstLineChars="0"/>
      </w:pPr>
      <w:r>
        <w:t>流程优化：优化监控告警规则，对“存储阵列降级”等中间状态增加更高级别的告警，实现更早的干预。</w:t>
      </w:r>
    </w:p>
    <w:p w14:paraId="79E43887">
      <w:pPr>
        <w:pStyle w:val="29"/>
        <w:numPr>
          <w:ilvl w:val="0"/>
          <w:numId w:val="3"/>
        </w:numPr>
        <w:bidi w:val="0"/>
        <w:ind w:left="425" w:leftChars="0" w:hanging="425" w:firstLineChars="0"/>
      </w:pPr>
      <w:r>
        <w:t>培训优化：组织一次针对存储系统运维的专项培训，提升团队对复杂硬件故障的预见性和处理能力。</w:t>
      </w:r>
    </w:p>
    <w:p w14:paraId="3B8D874C">
      <w:pPr>
        <w:pStyle w:val="28"/>
        <w:bidi w:val="0"/>
      </w:pPr>
      <w:bookmarkStart w:id="7" w:name="_Toc27968"/>
      <w:r>
        <w:t>结论</w:t>
      </w:r>
      <w:bookmarkEnd w:id="7"/>
    </w:p>
    <w:p w14:paraId="08B9B720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截止目前，</w:t>
      </w:r>
      <w:r>
        <w:t>运维服务体系的可用性表现整体符合《可用性</w:t>
      </w:r>
      <w:r>
        <w:rPr>
          <w:rFonts w:hint="eastAsia"/>
          <w:lang w:val="en-US" w:eastAsia="zh-CN"/>
        </w:rPr>
        <w:t>管理</w:t>
      </w:r>
      <w:r>
        <w:t>计划》的预期目标。系统运行稳定，维护操作规范，应急响应及时有效。对于发生的事件，我们已通过根本原因分析制定了有效的改进措施。</w:t>
      </w:r>
      <w:r>
        <w:rPr>
          <w:rFonts w:hint="eastAsia"/>
          <w:lang w:val="en-US" w:eastAsia="zh-CN"/>
        </w:rPr>
        <w:t>后期</w:t>
      </w:r>
      <w:r>
        <w:t>我们将重点关注改进建议的落地实施，并持续优化，以追求更高的可用性水平。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E5C35C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90DE4D1"/>
    <w:multiLevelType w:val="singleLevel"/>
    <w:tmpl w:val="990DE4D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C0CFE0B"/>
    <w:multiLevelType w:val="singleLevel"/>
    <w:tmpl w:val="EC0CFE0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03066AA"/>
    <w:rsid w:val="39062F6E"/>
    <w:rsid w:val="78CC3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1"/>
    <w:link w:val="3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character" w:customStyle="1" w:styleId="39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1040</Words>
  <Characters>1137</Characters>
  <Lines>0</Lines>
  <Paragraphs>0</Paragraphs>
  <TotalTime>1</TotalTime>
  <ScaleCrop>false</ScaleCrop>
  <LinksUpToDate>false</LinksUpToDate>
  <CharactersWithSpaces>1163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2025-12-25T03:01:12Z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