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55951D">
      <w:pPr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2-0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9</w:t>
      </w:r>
    </w:p>
    <w:p w14:paraId="0ED119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4C68BE67">
      <w:pPr>
        <w:pStyle w:val="24"/>
        <w:keepLines w:val="0"/>
        <w:pageBreakBefore w:val="0"/>
        <w:widowControl w:val="0"/>
        <w:wordWrap/>
        <w:overflowPunct/>
        <w:bidi w:val="0"/>
      </w:pPr>
      <w:bookmarkStart w:id="0" w:name="_Toc15274"/>
      <w:bookmarkStart w:id="1" w:name="_Toc22278"/>
      <w:r>
        <w:rPr>
          <w:rFonts w:hint="eastAsia"/>
          <w:lang w:val="en-US" w:eastAsia="zh-CN"/>
        </w:rPr>
        <w:t>青岛瑞源工程集团有限公司</w:t>
      </w:r>
      <w:bookmarkEnd w:id="0"/>
      <w:bookmarkEnd w:id="1"/>
    </w:p>
    <w:p w14:paraId="3F0506D4">
      <w:pPr>
        <w:pStyle w:val="25"/>
        <w:keepLines w:val="0"/>
        <w:pageBreakBefore w:val="0"/>
        <w:widowControl w:val="0"/>
        <w:wordWrap/>
        <w:overflowPunct/>
        <w:bidi w:val="0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过程框架设计会议纪要</w:t>
      </w:r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75539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7F66E399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张秀才</w:t>
            </w:r>
          </w:p>
        </w:tc>
        <w:tc>
          <w:tcPr>
            <w:tcW w:w="4261" w:type="dxa"/>
          </w:tcPr>
          <w:p w14:paraId="7F1F2123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FDE9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587148FB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90"/>
                <w:kern w:val="0"/>
                <w:u w:val="single"/>
                <w:fitText w:val="600" w:id="2128295368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fitText w:val="600" w:id="2128295368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4CAACD30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7D879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7FD5681A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4A3063B5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7E5347C6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5341D9AB">
      <w:pPr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365B8C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58E710A3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48E5943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C7B5D6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2DF94AA1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05B100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3290C3E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37A5A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E05E0B2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2025.01.10</w:t>
            </w:r>
          </w:p>
        </w:tc>
        <w:tc>
          <w:tcPr>
            <w:tcW w:w="919" w:type="dxa"/>
          </w:tcPr>
          <w:p w14:paraId="13A0FED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1743553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41402CC8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张秀才</w:t>
            </w:r>
          </w:p>
        </w:tc>
        <w:tc>
          <w:tcPr>
            <w:tcW w:w="1150" w:type="dxa"/>
          </w:tcPr>
          <w:p w14:paraId="0503D99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100"/>
                <w:kern w:val="0"/>
                <w:sz w:val="20"/>
                <w:szCs w:val="20"/>
                <w:fitText w:val="600" w:id="136400212"/>
                <w:lang w:val="en-US" w:eastAsia="zh-CN"/>
              </w:rPr>
              <w:t>宋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fitText w:val="600" w:id="136400212"/>
                <w:lang w:val="en-US" w:eastAsia="zh-CN"/>
              </w:rPr>
              <w:t>振</w:t>
            </w:r>
          </w:p>
        </w:tc>
        <w:tc>
          <w:tcPr>
            <w:tcW w:w="1240" w:type="dxa"/>
          </w:tcPr>
          <w:p w14:paraId="6A14A5F8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245043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D44AC9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09F7A4C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22E16C89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17FA309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715787B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4ACC5D2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0F9D76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E4FB85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7510B4C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683B6521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463C2F9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310EE640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3D66451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5517E8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08196551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3329C7B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685EA11D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264F77FE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56733F2A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0664776A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607961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290AA0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1BECD390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4F1C8BD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08446963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4C0C72A0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0F8BB354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2EE619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45A2D1E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3F4EDC3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5A3995A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67DB343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7498C7F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0CE7DCCA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 w14:paraId="6F49877B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5884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6BEAA39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2971D2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_Toc15274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_Toc15274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A64399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_Toc24508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可用性计划</w:t>
          </w:r>
          <w:r>
            <w:tab/>
          </w:r>
          <w:r>
            <w:fldChar w:fldCharType="begin"/>
          </w:r>
          <w:r>
            <w:instrText xml:space="preserve"> PAGEREF _Toc24508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DF1E31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_Toc4056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_Toc4056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1B1AD5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_Toc13304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_Toc13304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109F6B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_Toc19945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_Toc19945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4B6757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_Toc16918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_Toc16918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BDB4DB9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_Toc24771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平台运维组</w:t>
          </w:r>
          <w:r>
            <w:tab/>
          </w:r>
          <w:r>
            <w:fldChar w:fldCharType="begin"/>
          </w:r>
          <w:r>
            <w:instrText xml:space="preserve"> PAGEREF _Toc24771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F2ED3D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_Toc3983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可用性工作实施</w:t>
          </w:r>
          <w:r>
            <w:tab/>
          </w:r>
          <w:r>
            <w:fldChar w:fldCharType="begin"/>
          </w:r>
          <w:r>
            <w:instrText xml:space="preserve"> PAGEREF _Toc3983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AED0C8D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_Toc11618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可用性需求</w:t>
          </w:r>
          <w:r>
            <w:tab/>
          </w:r>
          <w:r>
            <w:fldChar w:fldCharType="begin"/>
          </w:r>
          <w:r>
            <w:instrText xml:space="preserve"> PAGEREF _Toc11618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3C71497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_Toc13621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检测、维护及恢复方案</w:t>
          </w:r>
          <w:r>
            <w:tab/>
          </w:r>
          <w:r>
            <w:fldChar w:fldCharType="begin"/>
          </w:r>
          <w:r>
            <w:instrText xml:space="preserve"> PAGEREF _Toc13621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4195970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_Toc6668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5.2.1. 日常维护方案</w:t>
          </w:r>
          <w:r>
            <w:tab/>
          </w:r>
          <w:r>
            <w:fldChar w:fldCharType="begin"/>
          </w:r>
          <w:r>
            <w:instrText xml:space="preserve"> PAGEREF _Toc6668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239B01E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_Toc22019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5.2.2. 系统恢复方案</w:t>
          </w:r>
          <w:r>
            <w:tab/>
          </w:r>
          <w:r>
            <w:fldChar w:fldCharType="begin"/>
          </w:r>
          <w:r>
            <w:instrText xml:space="preserve"> PAGEREF _Toc22019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4FCD04E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_Toc1112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5.2.3. 计划的评审</w:t>
          </w:r>
          <w:r>
            <w:tab/>
          </w:r>
          <w:r>
            <w:fldChar w:fldCharType="begin"/>
          </w:r>
          <w:r>
            <w:instrText xml:space="preserve"> PAGEREF _Toc1112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7DBA15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_Toc11675 </w:instrText>
          </w:r>
          <w: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_Toc11675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47C5FA2">
          <w:pPr>
            <w:rPr>
              <w:rFonts w:ascii="宋体" w:hAnsi="宋体" w:eastAsia="宋体" w:cs="Arial"/>
              <w:snapToGrid w:val="0"/>
              <w:color w:val="000000"/>
              <w:kern w:val="0"/>
              <w:sz w:val="21"/>
              <w:szCs w:val="21"/>
              <w:lang w:val="en-US" w:eastAsia="en-US" w:bidi="ar-SA"/>
            </w:rPr>
          </w:pPr>
          <w:r>
            <w:fldChar w:fldCharType="end"/>
          </w:r>
          <w:bookmarkStart w:id="2" w:name="bookmark14"/>
          <w:bookmarkEnd w:id="2"/>
        </w:p>
      </w:sdtContent>
    </w:sdt>
    <w:p w14:paraId="47A19282">
      <w:p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</w:p>
    <w:p w14:paraId="1BFC8AA4">
      <w:p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</w:p>
    <w:p w14:paraId="544D7F36">
      <w:p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F53DA03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会议议程与目标</w:t>
      </w:r>
    </w:p>
    <w:p w14:paraId="4F5403DB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回顾已制定的《过程框架管理制度》核心内容与目标。</w:t>
      </w:r>
    </w:p>
    <w:p w14:paraId="6AAB4A5B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审议并确定“过程框架管理设计图”的初步方案。</w:t>
      </w:r>
    </w:p>
    <w:p w14:paraId="0C910EFE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明确设计图中各模块的职责归属与接口关系。</w:t>
      </w:r>
    </w:p>
    <w:p w14:paraId="0D751C27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确定设计图落地实施的初步行动计划与关键时间节点。</w:t>
      </w:r>
    </w:p>
    <w:p w14:paraId="4F870DA5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讨论内容与结论</w:t>
      </w:r>
    </w:p>
    <w:p w14:paraId="576EFF75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制度回顾与设计图目的确认</w:t>
      </w:r>
    </w:p>
    <w:p w14:paraId="42166452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会议一致认为，建立《过程框架管理制度》是规范运维服务交付、提升运营效率与质量、实现持续改进的重要基础。</w:t>
      </w:r>
    </w:p>
    <w:p w14:paraId="6D8B8750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“过程框架管理设计图”作为制度的可视化与结构化呈现，旨在：</w:t>
      </w:r>
    </w:p>
    <w:p w14:paraId="558D2674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清晰描绘运维核心过程的全景及关联关系。</w:t>
      </w:r>
    </w:p>
    <w:p w14:paraId="38CDA1E6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明确各过程的输入、输出、控制点与责任人。</w:t>
      </w:r>
    </w:p>
    <w:p w14:paraId="44BAA5A5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为流程执行、监控、审计与优化提供直观指引。</w:t>
      </w:r>
    </w:p>
    <w:p w14:paraId="3E3FE885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确保制度要求与实际操作紧密结合。</w:t>
      </w:r>
    </w:p>
    <w:p w14:paraId="1E433247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过程框架管理设计图方案审议</w:t>
      </w:r>
    </w:p>
    <w:p w14:paraId="29BF051A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会议审议了由运维部牵头起草的“过程框架管理设计图（草案）”。该草案基于ITIL、ISO 20000等最佳实践，结合公司实际，将运维过程划分为四大领域：</w:t>
      </w:r>
    </w:p>
    <w:p w14:paraId="2F5B6292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服务战略与设计领域： 包含服务目录管理、服务水平管理（SLA）、容量与可用性规划等过程。</w:t>
      </w:r>
    </w:p>
    <w:p w14:paraId="1A178475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服务过渡与部署领域： 包含变更管理、发布与部署管理、配置管理等过程。</w:t>
      </w:r>
    </w:p>
    <w:p w14:paraId="1CF621C4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服务运营与支持领域： 包含事件管理、问题管理、请求履行、运维值班与监控等核心运营过程。</w:t>
      </w:r>
    </w:p>
    <w:p w14:paraId="05795A40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持续改进与治理领域： 包含服务评审、管理评审、内审、持续改进（PDCA循环）等过程。</w:t>
      </w:r>
    </w:p>
    <w:p w14:paraId="34E23DB0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会议决议： 原则通过该框架结构。要求在图示中进一步突出“监控与报告”主线，并清晰标注各过程间的信息流与触发关系。</w:t>
      </w:r>
    </w:p>
    <w:p w14:paraId="3B526FC9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职责归属与接口界定</w:t>
      </w:r>
    </w:p>
    <w:p w14:paraId="0438C78F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会议明确了设计图中各主要过程的关联关系：</w:t>
      </w:r>
    </w:p>
    <w:p w14:paraId="7DA95419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运维部作为大多数运营与支持过程的主导部门，并对服务过渡过程承担关键角色。</w:t>
      </w:r>
    </w:p>
    <w:p w14:paraId="7AE1923B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运维部主导容量规划、部分部署技术支持。</w:t>
      </w:r>
    </w:p>
    <w:p w14:paraId="4EECE336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质量部主导持续改进机制、内审及部分流程质量度量。</w:t>
      </w:r>
    </w:p>
    <w:p w14:paraId="387D8EE8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运维部和质量部在涉及项目制的变更与发布中提供协同。</w:t>
      </w:r>
    </w:p>
    <w:p w14:paraId="3CC3F46B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会议决议：过程框架设计图定稿。</w:t>
      </w:r>
    </w:p>
    <w:p w14:paraId="5592109B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落地实施初步计划</w:t>
      </w:r>
    </w:p>
    <w:p w14:paraId="38919ADF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设计图定稿：由运维部根据本次会议意见，于2025年1月15日前完成设计图的修改与美化，并提交给质量部会签。</w:t>
      </w:r>
    </w:p>
    <w:p w14:paraId="527CE700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配套细则制定： 以设计图为蓝图，各主导部门开始梳理或完善所负责过程的详细操作程序（SOP）、工作模板及关键绩效指标（KPI）。此项工作作为下一阶段重点。</w:t>
      </w:r>
    </w:p>
    <w:p w14:paraId="74576146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宣贯与培训：计划在2025年1月中旬组织面向运维部及相关部门的制度与设计图专题宣贯会，由运维部和质量部共同主持。</w:t>
      </w:r>
    </w:p>
    <w:p w14:paraId="44580B1F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试点运行与全面推行：初步选定“事件管理”与“变更管理”两个过程依据新框架进行强化运行。视试点情况，逐步全面推行。</w:t>
      </w:r>
    </w:p>
    <w:p w14:paraId="7E5B91CA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会议决议摘要</w:t>
      </w:r>
    </w:p>
    <w:p w14:paraId="3E216E54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通过以服务级别管理、服务报告管理、事件管理、问题管理、变更管理、发布管理、配置管理、服务可用性和连续性、容量管理和信息安全管理等</w:t>
      </w:r>
      <w:bookmarkStart w:id="3" w:name="_GoBack"/>
      <w:bookmarkEnd w:id="3"/>
      <w:r>
        <w:rPr>
          <w:rFonts w:hint="eastAsia"/>
          <w:lang w:val="en-US" w:eastAsia="zh-CN"/>
        </w:rPr>
        <w:t>为核心的过程框架管理设计图主体结构。</w:t>
      </w:r>
    </w:p>
    <w:p w14:paraId="6DBC04CC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责成 运维部根据会议意见完善设计图，并于指定日期前完成定稿。</w:t>
      </w:r>
    </w:p>
    <w:p w14:paraId="1BEAA990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明确了各过程模块的职责归属，要求在设计图中予以体现。</w:t>
      </w:r>
    </w:p>
    <w:p w14:paraId="4B21F38F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批准了设计图落地实施的初步时间计划，进入准备阶段。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3F1A55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BA5F7F5"/>
    <w:multiLevelType w:val="singleLevel"/>
    <w:tmpl w:val="4BA5F7F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BA7CA7"/>
    <w:rsid w:val="02B65032"/>
    <w:rsid w:val="10BB33AB"/>
    <w:rsid w:val="11FF19BD"/>
    <w:rsid w:val="17204E58"/>
    <w:rsid w:val="18CB4F16"/>
    <w:rsid w:val="1A6920CA"/>
    <w:rsid w:val="1E917E41"/>
    <w:rsid w:val="253D769B"/>
    <w:rsid w:val="25E4508B"/>
    <w:rsid w:val="2673350C"/>
    <w:rsid w:val="272A0E33"/>
    <w:rsid w:val="27FF7BCA"/>
    <w:rsid w:val="283C5561"/>
    <w:rsid w:val="2BD15D21"/>
    <w:rsid w:val="2E2E3E25"/>
    <w:rsid w:val="2F8541A9"/>
    <w:rsid w:val="39275AE1"/>
    <w:rsid w:val="3A2D4A6A"/>
    <w:rsid w:val="3B351E28"/>
    <w:rsid w:val="3E133F77"/>
    <w:rsid w:val="3E916A5A"/>
    <w:rsid w:val="4BE17463"/>
    <w:rsid w:val="4E37780E"/>
    <w:rsid w:val="533F163E"/>
    <w:rsid w:val="546926EB"/>
    <w:rsid w:val="56DE0AFD"/>
    <w:rsid w:val="57603931"/>
    <w:rsid w:val="5A951B44"/>
    <w:rsid w:val="60F90953"/>
    <w:rsid w:val="65781896"/>
    <w:rsid w:val="6A4E1D0F"/>
    <w:rsid w:val="6B8B77E1"/>
    <w:rsid w:val="728C0208"/>
    <w:rsid w:val="780F0D30"/>
    <w:rsid w:val="78324A1E"/>
    <w:rsid w:val="7877498F"/>
    <w:rsid w:val="7C273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link w:val="3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character" w:customStyle="1" w:styleId="39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99</Words>
  <Characters>156</Characters>
  <Lines>0</Lines>
  <Paragraphs>0</Paragraphs>
  <TotalTime>20</TotalTime>
  <ScaleCrop>false</ScaleCrop>
  <LinksUpToDate>false</LinksUpToDate>
  <CharactersWithSpaces>156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2025-12-25T16:35:04Z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