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5274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 w:eastAsia="黑体"/>
          <w:lang w:val="en-US" w:eastAsia="zh-CN"/>
        </w:rPr>
      </w:pPr>
      <w:r>
        <w:rPr>
          <w:rFonts w:hint="default"/>
          <w:lang w:val="en-US"/>
        </w:rPr>
        <w:t>烟台林海嵎峡田综合体智慧农业大数据平台建设项目</w:t>
      </w:r>
      <w:r>
        <w:rPr>
          <w:rFonts w:hint="eastAsia"/>
          <w:lang w:val="en-US" w:eastAsia="zh-CN"/>
        </w:rPr>
        <w:t>信息安全管理计划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971D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A6439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_Toc24508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F1E3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B1AD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9F6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B675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DB4DB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2ED3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_Toc3983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ED0C8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_Toc11618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C7149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_Toc13621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959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39B01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FCD0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_Toc1112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DBA1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841276">
          <w:r>
            <w:fldChar w:fldCharType="end"/>
          </w:r>
        </w:p>
      </w:sdtContent>
    </w:sdt>
    <w:p w14:paraId="1076D464"/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0D051A9">
      <w:pPr>
        <w:pStyle w:val="28"/>
        <w:bidi w:val="0"/>
        <w:rPr>
          <w:rFonts w:hint="eastAsia"/>
          <w:lang w:val="en-US" w:eastAsia="zh-CN"/>
        </w:rPr>
      </w:pPr>
      <w:bookmarkStart w:id="2" w:name="bookmark14"/>
      <w:bookmarkEnd w:id="2"/>
      <w:r>
        <w:rPr>
          <w:rFonts w:hint="eastAsia"/>
          <w:lang w:val="en-US" w:eastAsia="zh-CN"/>
        </w:rPr>
        <w:t>计划概述与目标</w:t>
      </w:r>
    </w:p>
    <w:p w14:paraId="35BF814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“烟台林海嵎峡田综合体智慧农业大数据平台建设项目”（以下简称“本项目”）在实施、部署、运维全过程符合国家信息安全相关法律法规及甲方要求，有效保护项目涉及的硬件、软件、数据及业务系统的机密性、完整性和可用性，特制定本信息安全管理计划。</w:t>
      </w:r>
    </w:p>
    <w:p w14:paraId="3B1744A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实施时间</w:t>
      </w:r>
    </w:p>
    <w:p w14:paraId="71F1338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2025年2月1日起，贯穿项目建设、验收及后续运维服务全周期。</w:t>
      </w:r>
    </w:p>
    <w:p w14:paraId="2B894E3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6073CEF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本计划适用于项目相关全体人员，包括乙方（青岛瑞源工程集团有限公司）项目团队、分包方（如有）及与甲方（北京旗硕基业科技股份有限公司）协作人员。</w:t>
      </w:r>
    </w:p>
    <w:p w14:paraId="34D9B67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管理目标</w:t>
      </w:r>
    </w:p>
    <w:p w14:paraId="7D49D1E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合规性：满足《中华人民共和国网络安全法》、《信息安全管理制度》《中华人民共和国数据安全法》、《中华人民共和国个人信息保护法》等法律法规及合同保密条款要求。</w:t>
      </w:r>
    </w:p>
    <w:p w14:paraId="38DD07A7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资产保护： 保障本项目所涉及的所有硬件设备（如摄像机、服务器、网络设备）、软件系统、应用程序及项目文档的安全。</w:t>
      </w:r>
    </w:p>
    <w:p w14:paraId="1CFE5453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数据安全： 确保项目采集、传输、存储、处理的农业数据、视频数据、管理数据等敏感信息的机密性、完整性和可用性。</w:t>
      </w:r>
    </w:p>
    <w:p w14:paraId="4B21F38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风险可控： 识别、评估并有效控制项目实施与运营中潜在的物理、网络、系统和人为安全风险。</w:t>
      </w:r>
    </w:p>
    <w:p w14:paraId="53B8C952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安全角色与职责</w:t>
      </w:r>
    </w:p>
    <w:p w14:paraId="3D95CB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924"/>
        <w:gridCol w:w="6209"/>
      </w:tblGrid>
      <w:tr w14:paraId="2A4A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C9E9AF">
            <w:pPr>
              <w:pStyle w:val="41"/>
              <w:bidi w:val="0"/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240E3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单位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0F005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主要安全职责</w:t>
            </w:r>
          </w:p>
        </w:tc>
      </w:tr>
      <w:tr w14:paraId="3D90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A32BED">
            <w:pPr>
              <w:pStyle w:val="4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运维项目经理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6CF62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656BCE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全面负责项目信息安全管理的规划、执行与监督；协调资源处置安全事件；向甲方及乙方管理层报告安全状况。</w:t>
            </w:r>
          </w:p>
        </w:tc>
      </w:tr>
      <w:tr w14:paraId="4919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1D532">
            <w:pPr>
              <w:pStyle w:val="4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运维工程师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D4F64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922BDE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负责网络架构安全、系统加固、漏洞扫描、渗透测试、安全配置实施及技术层面应急响应。</w:t>
            </w:r>
          </w:p>
        </w:tc>
      </w:tr>
      <w:tr w14:paraId="684F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57DFD2">
            <w:pPr>
              <w:pStyle w:val="4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现场实施</w:t>
            </w:r>
            <w:r>
              <w:rPr>
                <w:rFonts w:hint="eastAsia"/>
                <w:lang w:val="en-US" w:eastAsia="zh-CN"/>
              </w:rPr>
              <w:t>人员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BB940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38F2C6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负责设备安装、调试、布线等现场作业的物理安全、操作规范及人员管控；管理施工现场出入。</w:t>
            </w:r>
          </w:p>
        </w:tc>
      </w:tr>
      <w:tr w14:paraId="7618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B7A12A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甲方安全对接人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1EF00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0E8BB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审核安全计划与报告；提供必要的安全策略与访问权限要求；参与安全验收与审计。</w:t>
            </w:r>
          </w:p>
        </w:tc>
      </w:tr>
      <w:tr w14:paraId="1A16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CDB377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全体项目成员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5159C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各方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E04DA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遵守信息安全制度与操作规程；报告发现的安全隐患或事件；参与安全培训。</w:t>
            </w:r>
          </w:p>
        </w:tc>
      </w:tr>
    </w:tbl>
    <w:p w14:paraId="5ABB900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主要安全管理领域与措施</w:t>
      </w:r>
    </w:p>
    <w:p w14:paraId="2787FDA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物理与环境安全</w:t>
      </w:r>
    </w:p>
    <w:p w14:paraId="3A4C3F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设备安全： 所有设备（服务器、交换机、磁盘阵列、摄像头等）在运输、仓储、安装过程中需有防盗窃、防破坏、防尘、防潮措施。数据中心、机房及设备间应配备门禁、监控及消防设施。</w:t>
      </w:r>
    </w:p>
    <w:p w14:paraId="47CB129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施工现场安全： 施工区域应进行必要隔离，实施人员登记，非授权人员不得接触核心设备与线缆。每日收工需清点设备、工具，关闭非必要电源。</w:t>
      </w:r>
    </w:p>
    <w:p w14:paraId="0CD15A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访问控制：对项目核心区域（如网络中心、监控中心）实施严格的物理访问控制，记录访问日志。</w:t>
      </w:r>
    </w:p>
    <w:p w14:paraId="1442BB2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</w:t>
      </w:r>
    </w:p>
    <w:p w14:paraId="115EDC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网络隔离与划分：根据业务需求，设计并实施安全的网络拓扑，将管理网络、视频专网、办公网络等进行逻辑或物理隔离。</w:t>
      </w:r>
    </w:p>
    <w:p w14:paraId="71C23B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边界防护： 在关键网络边界部署防火墙，依据最小权限原则配置访问控制策略。所有网络设备（如H3C S7506X-S交换机、锐捷交换机）需更改默认口令，启用安全管理协议。</w:t>
      </w:r>
    </w:p>
    <w:p w14:paraId="038448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安全监控：利用网络设备日志及可能的独立安全审计系统，对异常流量、非法访问尝试进行监控与告警。</w:t>
      </w:r>
    </w:p>
    <w:p w14:paraId="62FCE4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无线安全： 若项目涉及无线网络（如视频会议、投屏），必须启用WPA3或WPA2企业级加密与认证。</w:t>
      </w:r>
    </w:p>
    <w:p w14:paraId="615CB30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系统与应用安全</w:t>
      </w:r>
    </w:p>
    <w:p w14:paraId="5E284A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安全配置基线： 对所有服务器（如戴尔图形处理主机）、操作系统、数据库、中间件及应用程序（如大华AI布控系统、视频综合平台）进行安全加固，关闭不必要的端口与服务，安装防病毒软件并及时更新补丁。</w:t>
      </w:r>
    </w:p>
    <w:p w14:paraId="766B2A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漏洞管理： 在系统部署前、交付前进行安全漏洞扫描与评估，对发现的中高风险漏洞必须在修复后方可上线。</w:t>
      </w:r>
    </w:p>
    <w:p w14:paraId="3C354E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 为所有系统账户、数据库账户分配完成其任务所需的最小权限。</w:t>
      </w:r>
    </w:p>
    <w:p w14:paraId="0BD478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开发安全（如适用）：若涉及定制软件开发，需遵循安全开发生命周期（SDLC），对代码进行安全审查。</w:t>
      </w:r>
    </w:p>
    <w:p w14:paraId="00B309E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</w:t>
      </w:r>
    </w:p>
    <w:p w14:paraId="43DC83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数据分类与标识： 对项目涉及的数据（如视频录像、农业传感数据、用户信息）进行分类分级（公开、内部、敏感、机密），并进行相应标识与管理。</w:t>
      </w:r>
    </w:p>
    <w:p w14:paraId="3C7D82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数据传输加密： 敏感数据在网络中传输时，须使用TLS/SSL、IPSec等加密协议进行保护。</w:t>
      </w:r>
    </w:p>
    <w:p w14:paraId="4B186D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数据存储加密： 对存储在磁盘阵列、服务器硬盘上的敏感数据，根据其级别考虑采用存储加密或数据库字段加密。</w:t>
      </w:r>
    </w:p>
    <w:p w14:paraId="38F29F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数据备份与恢复： 制定并测试关键系统和数据的备份策略，确保在故障或灾难时能及时恢复。备份数据的安全性应得到同等保护。</w:t>
      </w:r>
    </w:p>
    <w:p w14:paraId="61906F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数据销毁： 明确项目结束或设备报废时，存储介质内数据的彻底销毁方法和流程。</w:t>
      </w:r>
    </w:p>
    <w:p w14:paraId="5CA22EC7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关键活动与时间安排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4612"/>
        <w:gridCol w:w="2521"/>
      </w:tblGrid>
      <w:tr w14:paraId="590A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C69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06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主要安全活动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E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交付物/里程碑</w:t>
            </w:r>
          </w:p>
        </w:tc>
      </w:tr>
      <w:tr w14:paraId="7BDD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0D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633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正式发布并宣贯本安全计划。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项目全体成员签署保密协议并完成首次安全培训。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完成初始安全风险评估，识别关键资产与威胁。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42D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签署的保密协议记录。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培训记录。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初始风险评估报告。</w:t>
            </w:r>
          </w:p>
        </w:tc>
      </w:tr>
      <w:tr w14:paraId="1604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E0D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2025年2月-项目实施期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A7F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所有设备到货安全点验与存储。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现场施工物理安全管理（持续）。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网络与系统安全配置实施与核查。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数据安全策略（加密、备份）初步部署。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9D0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设备签收与检验记录。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安全配置核查清单。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系统与网络拓扑安全设计文档。</w:t>
            </w:r>
          </w:p>
        </w:tc>
      </w:tr>
      <w:tr w14:paraId="08DA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6D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系统部署完成至验收前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79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进行全面的系统安全测试与漏洞扫描。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修复发现的安全漏洞。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模拟应急演练（可选）。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整理并提交《系统安全交付报告》。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F88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安全测试报告。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漏洞修复记录。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《系统安全交付报告》。</w:t>
            </w:r>
          </w:p>
        </w:tc>
      </w:tr>
      <w:tr w14:paraId="0C00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51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项目验收阶段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32C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将信息安全作为验收的必要组成部分，向甲方展示关键安全措施的实施情况。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F37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信息安全相关内容纳入整体《验收单》。</w:t>
            </w:r>
          </w:p>
        </w:tc>
      </w:tr>
      <w:tr w14:paraId="6B923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7BE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运维服务期（三年质保期内）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478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持续的安全监控与定期（如每季度）安全巡检。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定期更新系统和应用补丁。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处理新发现的安全威胁与事件。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每年进行一次全面安全复评。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9A61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安全巡检报告。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补丁更新记录。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安全事件处理记录。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年度安全评估报告。</w:t>
            </w:r>
          </w:p>
        </w:tc>
      </w:tr>
    </w:tbl>
    <w:p w14:paraId="2DAB0E8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安全事件应急响应</w:t>
      </w:r>
    </w:p>
    <w:p w14:paraId="25C782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定义与分级： 明确信息安全事件（如数据泄露、网络攻击、设备失窃、恶意软件感染）的等级（重大、较大、一般）。</w:t>
      </w:r>
    </w:p>
    <w:p w14:paraId="73DED3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 建立包含发现与报告、初步评估、遏制与处理、根因分析、恢复、总结改进的标准应急响应流程。</w:t>
      </w:r>
    </w:p>
    <w:p w14:paraId="2EBBAE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沟通与报告： 事件发生后，必须按照既定流程及时向项目安全负责人和甲方安全对接人报告。重大事件需立即报告。</w:t>
      </w:r>
    </w:p>
    <w:p w14:paraId="622264A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符合性检查与审计</w:t>
      </w:r>
    </w:p>
    <w:p w14:paraId="7CE9A4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内部检查：乙方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定期（每月/每季度）对本计划的执行情况进行检查。</w:t>
      </w:r>
    </w:p>
    <w:p w14:paraId="3EEB95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甲方审计：甲方有权依据合同要求，对本项目的安全管理和控制措施进行审计，乙方需予以配合并提供必要证据。</w:t>
      </w:r>
    </w:p>
    <w:p w14:paraId="6A09C4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持续改进：根据检查、审计及安全事件中发现的问题，持续更新和完善本安全管理计划及相关措施。</w:t>
      </w:r>
      <w:bookmarkStart w:id="3" w:name="_GoBack"/>
      <w:bookmarkEnd w:id="3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D86B72B"/>
    <w:multiLevelType w:val="singleLevel"/>
    <w:tmpl w:val="5D86B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2E78"/>
    <w:rsid w:val="00BA7CA7"/>
    <w:rsid w:val="0264611C"/>
    <w:rsid w:val="03DE3CAC"/>
    <w:rsid w:val="070659F4"/>
    <w:rsid w:val="099472E7"/>
    <w:rsid w:val="108035B1"/>
    <w:rsid w:val="10BB33AB"/>
    <w:rsid w:val="11FF19BD"/>
    <w:rsid w:val="15DA0777"/>
    <w:rsid w:val="17204E58"/>
    <w:rsid w:val="1844637C"/>
    <w:rsid w:val="18CB4F16"/>
    <w:rsid w:val="1D2D5631"/>
    <w:rsid w:val="1E917E41"/>
    <w:rsid w:val="23FA0237"/>
    <w:rsid w:val="253D769B"/>
    <w:rsid w:val="26F92A28"/>
    <w:rsid w:val="272A0E33"/>
    <w:rsid w:val="278F2208"/>
    <w:rsid w:val="27FF7BCA"/>
    <w:rsid w:val="2BD15D21"/>
    <w:rsid w:val="2E9279E9"/>
    <w:rsid w:val="2F8541A9"/>
    <w:rsid w:val="331C1259"/>
    <w:rsid w:val="39795389"/>
    <w:rsid w:val="3A2D4A6A"/>
    <w:rsid w:val="3A8915DF"/>
    <w:rsid w:val="3B351E28"/>
    <w:rsid w:val="3FFA53EF"/>
    <w:rsid w:val="42036E22"/>
    <w:rsid w:val="482A48B6"/>
    <w:rsid w:val="487321E2"/>
    <w:rsid w:val="4BB072A9"/>
    <w:rsid w:val="4BE17463"/>
    <w:rsid w:val="533F163E"/>
    <w:rsid w:val="546926EB"/>
    <w:rsid w:val="55515659"/>
    <w:rsid w:val="56CD0D0F"/>
    <w:rsid w:val="56DE0AFD"/>
    <w:rsid w:val="581F37ED"/>
    <w:rsid w:val="59B00317"/>
    <w:rsid w:val="5A951B44"/>
    <w:rsid w:val="5B433C96"/>
    <w:rsid w:val="5C3D6937"/>
    <w:rsid w:val="5C875E04"/>
    <w:rsid w:val="5CA40CE0"/>
    <w:rsid w:val="60F90953"/>
    <w:rsid w:val="62D022B3"/>
    <w:rsid w:val="65091AAC"/>
    <w:rsid w:val="655B1BDC"/>
    <w:rsid w:val="67E047E8"/>
    <w:rsid w:val="68363CFA"/>
    <w:rsid w:val="6A882277"/>
    <w:rsid w:val="6E645FA5"/>
    <w:rsid w:val="72CC236B"/>
    <w:rsid w:val="76684159"/>
    <w:rsid w:val="7832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1577</Words>
  <Characters>1674</Characters>
  <Lines>0</Lines>
  <Paragraphs>0</Paragraphs>
  <TotalTime>20</TotalTime>
  <ScaleCrop>false</ScaleCrop>
  <LinksUpToDate>false</LinksUpToDate>
  <CharactersWithSpaces>1729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2025-12-25T17:18:44Z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