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5951D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</w:p>
    <w:p w14:paraId="0ED11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4C68BE67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22278"/>
      <w:bookmarkStart w:id="1" w:name="_Toc15274"/>
      <w:r>
        <w:rPr>
          <w:rFonts w:hint="eastAsia"/>
          <w:lang w:val="en-US" w:eastAsia="zh-CN"/>
        </w:rPr>
        <w:t>青岛瑞源工程集团有限公司</w:t>
      </w:r>
      <w:bookmarkEnd w:id="0"/>
      <w:bookmarkEnd w:id="1"/>
    </w:p>
    <w:p w14:paraId="3F0506D4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 w:eastAsia="黑体"/>
          <w:lang w:val="en-US" w:eastAsia="zh-CN"/>
        </w:rPr>
      </w:pPr>
      <w:r>
        <w:rPr>
          <w:rFonts w:hint="default"/>
          <w:lang w:val="en-US"/>
        </w:rPr>
        <w:t>烟台林海嵎峡田综合体智慧农业大数据平台建设项目</w:t>
      </w:r>
      <w:r>
        <w:rPr>
          <w:rFonts w:hint="eastAsia"/>
          <w:lang w:val="en-US" w:eastAsia="zh-CN"/>
        </w:rPr>
        <w:t>信息安全管理报告</w:t>
      </w:r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5539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F66E399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7F1F2123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0FDE9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87148FB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2128295368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2128295368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4CAACD3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7D879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FD5681A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4A3063B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7E5347C6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5341D9AB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65B8C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8E710A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48E594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C7B5D6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DF94AA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05B100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3290C3E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37A5A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E05E0B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0</w:t>
            </w:r>
          </w:p>
        </w:tc>
        <w:tc>
          <w:tcPr>
            <w:tcW w:w="919" w:type="dxa"/>
          </w:tcPr>
          <w:p w14:paraId="13A0FED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743553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1402CC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0503D99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136400212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136400212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6A14A5F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245043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D44AC9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9F7A4C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2E16C8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7FA309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15787B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ACC5D2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F9D76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E4FB85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510B4C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83B652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63C2F9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10EE64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D66451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517E8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819655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329C7B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85EA11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64F77F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6733F2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664776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07961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290AA0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BECD39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F1C8BD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844696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C0C72A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F8BB35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EE619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5A2D1E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F4EDC3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A3995A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7DB343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498C7F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CE7DCC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6F49877B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88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6BEAA39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2971D2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_Toc15274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_Toc15274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A64399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_Toc24508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可用性计划</w:t>
          </w:r>
          <w:r>
            <w:tab/>
          </w:r>
          <w:r>
            <w:fldChar w:fldCharType="begin"/>
          </w:r>
          <w:r>
            <w:instrText xml:space="preserve"> PAGEREF _Toc24508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DF1E31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_Toc4056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_Toc4056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1B1AD5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_Toc13304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09F6B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_Toc19945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_Toc19945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4B6757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_Toc16918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BDB4DB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平台运维组</w:t>
          </w:r>
          <w:r>
            <w:tab/>
          </w:r>
          <w:r>
            <w:fldChar w:fldCharType="begin"/>
          </w:r>
          <w:r>
            <w:instrText xml:space="preserve"> PAGEREF _Toc24771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F2ED3D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可用性工作实施</w:t>
          </w:r>
          <w:r>
            <w:tab/>
          </w:r>
          <w:r>
            <w:fldChar w:fldCharType="begin"/>
          </w:r>
          <w:r>
            <w:instrText xml:space="preserve"> PAGEREF _Toc3983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AED0C8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可用性需求</w:t>
          </w:r>
          <w:r>
            <w:tab/>
          </w:r>
          <w:r>
            <w:fldChar w:fldCharType="begin"/>
          </w:r>
          <w:r>
            <w:instrText xml:space="preserve"> PAGEREF _Toc11618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3C7149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检测、维护及恢复方案</w:t>
          </w:r>
          <w:r>
            <w:tab/>
          </w:r>
          <w:r>
            <w:fldChar w:fldCharType="begin"/>
          </w:r>
          <w:r>
            <w:instrText xml:space="preserve"> PAGEREF _Toc13621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19597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5.2.1. 日常维护方案</w:t>
          </w:r>
          <w:r>
            <w:tab/>
          </w:r>
          <w:r>
            <w:fldChar w:fldCharType="begin"/>
          </w:r>
          <w:r>
            <w:instrText xml:space="preserve"> PAGEREF _Toc6668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39B01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5.2.2. 系统恢复方案</w:t>
          </w:r>
          <w:r>
            <w:tab/>
          </w:r>
          <w:r>
            <w:fldChar w:fldCharType="begin"/>
          </w:r>
          <w:r>
            <w:instrText xml:space="preserve"> PAGEREF _Toc22019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4FCD04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5.2.3. 计划的评审</w:t>
          </w:r>
          <w:r>
            <w:tab/>
          </w:r>
          <w:r>
            <w:fldChar w:fldCharType="begin"/>
          </w:r>
          <w:r>
            <w:instrText xml:space="preserve"> PAGEREF _Toc1112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7DBA15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_Toc11675 </w:instrText>
          </w:r>
          <w: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_Toc11675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3841276">
          <w:r>
            <w:fldChar w:fldCharType="end"/>
          </w:r>
        </w:p>
      </w:sdtContent>
    </w:sdt>
    <w:p w14:paraId="1076D464"/>
    <w:p w14:paraId="537FA3B9">
      <w:pPr>
        <w:keepLines w:val="0"/>
        <w:pageBreakBefore w:val="0"/>
        <w:widowControl w:val="0"/>
        <w:wordWrap/>
        <w:overflowPunct/>
        <w:bidi w:val="0"/>
        <w:rPr>
          <w:rFonts w:hint="eastAsia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8958A0B">
      <w:pPr>
        <w:pStyle w:val="28"/>
        <w:bidi w:val="0"/>
        <w:rPr>
          <w:rFonts w:hint="default"/>
          <w:lang w:val="en-US" w:eastAsia="zh-CN"/>
        </w:rPr>
      </w:pPr>
      <w:bookmarkStart w:id="2" w:name="bookmark14"/>
      <w:bookmarkEnd w:id="2"/>
      <w:r>
        <w:rPr>
          <w:rFonts w:hint="default"/>
          <w:lang w:val="en-US" w:eastAsia="zh-CN"/>
        </w:rPr>
        <w:t>报告摘要</w:t>
      </w:r>
    </w:p>
    <w:p w14:paraId="4EFD465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全面总结“烟台林海嵎峡田综合体智慧农业大数据平台建设项目”自2025年2月启动至2025年10月底，为期九个月的信息安全管理工作。项目组严格遵循既定《信息安全管理计划》及合同相关条款，系统性地构建并持续优化了项目信息安全体系。截至报告期末，项目已顺利完成系统部署、集成测试及初步试运行，所有关键安全控制措施均已落地并验证有效，未发生任何重大信息安全事件，全面满足项目验收的安全前提条件，并为即将开始的三年运维服务期奠定了坚实的安全运维基础。</w:t>
      </w:r>
    </w:p>
    <w:p w14:paraId="2EFAFE6B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安全治理与组织效能</w:t>
      </w:r>
    </w:p>
    <w:p w14:paraId="079D4EE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项目建立了高效、权责清晰的安全管理组织，并随项目阶段动态调整重心</w:t>
      </w:r>
    </w:p>
    <w:tbl>
      <w:tblPr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3"/>
        <w:gridCol w:w="7481"/>
      </w:tblGrid>
      <w:tr w14:paraId="25525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4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A22D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748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214A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履行情况总结（截至10月）</w:t>
            </w:r>
          </w:p>
        </w:tc>
      </w:tr>
      <w:tr w14:paraId="69E47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107D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运维项目经理</w:t>
            </w:r>
          </w:p>
        </w:tc>
        <w:tc>
          <w:tcPr>
            <w:tcW w:w="7481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B81C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全程主持安全战略，组织召开季度安全评审会2次，月度安全检查8次，成功协调处理所有跨部门安全问题，确保安全与项目进度同步。</w:t>
            </w:r>
          </w:p>
        </w:tc>
      </w:tr>
      <w:tr w14:paraId="4CE09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ACEE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运维工程师</w:t>
            </w:r>
          </w:p>
        </w:tc>
        <w:tc>
          <w:tcPr>
            <w:tcW w:w="7481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DC40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完成了从架构设计、实施加固到最终渗透测试的全周期技术安全保障。累计输出安全配置文档12份，漏洞修复报告5份，是技术防线的核心力量。</w:t>
            </w:r>
          </w:p>
        </w:tc>
      </w:tr>
      <w:tr w14:paraId="10870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B6AF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现场实施</w:t>
            </w: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人员</w:t>
            </w:r>
          </w:p>
        </w:tc>
        <w:tc>
          <w:tcPr>
            <w:tcW w:w="7481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6434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在设备安装、线缆铺设、机房建设等高峰期（3-7月），严格落实物理安全管控，实现了施工期间“零物理安全事故、零设备遗失”的目标。</w:t>
            </w:r>
          </w:p>
        </w:tc>
      </w:tr>
      <w:tr w14:paraId="41EFE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6E92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甲方安全对接人</w:t>
            </w:r>
          </w:p>
        </w:tc>
        <w:tc>
          <w:tcPr>
            <w:tcW w:w="7481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C758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深度参与了安全方案评审、中期安全检查（5月）及验收前安全审计（10月），提供了关键的业务安全需求输入，协作顺畅。</w:t>
            </w:r>
          </w:p>
        </w:tc>
      </w:tr>
      <w:tr w14:paraId="17DFA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6958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全体项目成员</w:t>
            </w:r>
          </w:p>
        </w:tc>
        <w:tc>
          <w:tcPr>
            <w:tcW w:w="7481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6126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安全意识已融入日常工作习惯，累计开展专项安全培训3次，保密协议签署率与考核通过率均达100%。</w:t>
            </w:r>
          </w:p>
        </w:tc>
      </w:tr>
    </w:tbl>
    <w:p w14:paraId="26D5A20C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各领域安全措施实施成果</w:t>
      </w:r>
    </w:p>
    <w:p w14:paraId="49FF8046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物理与环境安全</w:t>
      </w:r>
    </w:p>
    <w:p w14:paraId="62CCABC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资产全流程可控：对合同清单中所有硬件设备建立了完整的资产台账，实现了从入库、领用、安装到最终位置的全程跟踪。</w:t>
      </w:r>
    </w:p>
    <w:p w14:paraId="62F2D26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核心区域安全就绪： 数据中心、网络机房及主要设备间已按照设计完成标准化建设，配备了永久的门禁、监控、消防及环境控制系统，符合国家相关标准。</w:t>
      </w:r>
    </w:p>
    <w:p w14:paraId="260E0367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网络安全</w:t>
      </w:r>
    </w:p>
    <w:p w14:paraId="178FD95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安全架构稳定运行： 基于VLAN、防火墙策略及访问控制列表构建的“分区隔离、纵深防御”网络架构已稳定运行超过四个月。关键网络设备配置均已备份并归档。</w:t>
      </w:r>
    </w:p>
    <w:p w14:paraId="13E642F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高级威胁防护引入： 在试运行阶段，于网络边界部署了入侵防御系统（IPS），并对核心交换机的安全策略进行了优化，增强了对新型网络攻击的检测与防御能力。</w:t>
      </w:r>
    </w:p>
    <w:p w14:paraId="485C7ACE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系统与应用安全</w:t>
      </w:r>
    </w:p>
    <w:p w14:paraId="1B8DB53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安全基线全面固化： 所有服务器（含图形处理主机、视频会议主机）、操作系统、数据库及业务应用（智慧农业平台、视频监控平台、LED显示控制系统等）均已完成安全加固，并形成标准化配置手册。</w:t>
      </w:r>
    </w:p>
    <w:p w14:paraId="498BB15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深度安全测试通过：于2025年9月委托第三方独立机构进行了渗透测试与源代码安全审计（针对定制开发部分）。发现的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个中低风险漏洞均在10月中旬前完成修复，并提交了详细的《安全测试与修复报告》，满足合同及验收要求。</w:t>
      </w:r>
    </w:p>
    <w:p w14:paraId="6BDF47D2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</w:t>
      </w:r>
    </w:p>
    <w:p w14:paraId="496AE7D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数据治理框架建立： 与甲方共同完成了项目数据资产的分类分级，明确了“农业生产数据”、“视频人脸数据”等为敏感数据，并制定了相应的加密、脱敏和访问审批流程。</w:t>
      </w:r>
    </w:p>
    <w:p w14:paraId="0CFEA7F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全生命周期保护落地： 敏感数据在传输（TLS）、存储（数据库加密）及备份（加密备份）环节均实现了加密保护。建立了完整的备份与恢复演练记录，RTO与RPO目标得到验证。</w:t>
      </w:r>
    </w:p>
    <w:p w14:paraId="78FA9361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供应链与知识产权安全</w:t>
      </w:r>
    </w:p>
    <w:p w14:paraId="4A96DF0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合规性保障： 确保所有采购的软硬件产品（如大华、H3C、戴尔、华为等品牌）来源合法，提供了必要的授权证书与合规证明，履行了合同第9条责任。</w:t>
      </w:r>
    </w:p>
    <w:p w14:paraId="4B5ED78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知识产权明晰： 严格遵循合同</w:t>
      </w:r>
      <w:r>
        <w:rPr>
          <w:rFonts w:hint="eastAsia"/>
          <w:lang w:val="en-US" w:eastAsia="zh-CN"/>
        </w:rPr>
        <w:t>规定</w:t>
      </w:r>
      <w:r>
        <w:rPr>
          <w:rFonts w:hint="default"/>
          <w:lang w:val="en-US" w:eastAsia="zh-CN"/>
        </w:rPr>
        <w:t>，本项目产生的所有开发成果知识产权已按约定归属甲方。我方使用的自有或第三方知识产权均已披露，无潜在纠纷。</w:t>
      </w:r>
    </w:p>
    <w:p w14:paraId="5D4F1176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风险评估与动态管理</w:t>
      </w:r>
    </w:p>
    <w:p w14:paraId="2903AE9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风险演进跟踪： 项目初期识别的5项高风险已全部通过工程与管理措施降至“低”或“可接受”级别。随着系统上线，新增了“业务逻辑漏洞”和“供应链软件漏洞”两项中风险，并已纳入常态化监控。</w:t>
      </w:r>
    </w:p>
    <w:p w14:paraId="0B429A7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定期评估机制： 建立了季度风险评估机制，分别在4月、7月和10月进行了三次正式评估，确保风险管理与项目实际进展同步。</w:t>
      </w:r>
    </w:p>
    <w:p w14:paraId="0B45D739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安全事件与应急响应</w:t>
      </w:r>
    </w:p>
    <w:p w14:paraId="7925325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报告期内，共记录并处置安全相关事件与告警15起，其中：</w:t>
      </w:r>
    </w:p>
    <w:p w14:paraId="0860A66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14起为网络扫描、误报等低威胁事件，均通过自动化监控系统发现并处置。</w:t>
      </w:r>
    </w:p>
    <w:p w14:paraId="3490FD7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1起为试运行期间发生的可疑暴力破解攻击尝试，被IPS成功阻断，未造成影响。该事件触发了完整的应急响应流程，并进行了事后溯源分析，提升了系统账号策略强度。</w:t>
      </w:r>
    </w:p>
    <w:p w14:paraId="4D5EAA3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上述事件处理证实了项目安全监测与响应体系的有效性，并为运维期积累了宝贵经验。</w:t>
      </w:r>
    </w:p>
    <w:p w14:paraId="3020D69E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符合性审计与验收准备</w:t>
      </w:r>
    </w:p>
    <w:p w14:paraId="36D9286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内部审计： 严格执行月度检查，共发现并闭环整改问题32项，形成检查记录8份。</w:t>
      </w:r>
    </w:p>
    <w:p w14:paraId="779CE8B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甲方协同审计： 于2025年10月下旬，积极配合甲方完成了验收前的专项安全审计。审计范围覆盖管理、技术、数据各层面，审计结论表明项目信息安全建设符合合同及管理计划要求，具备验收条件。</w:t>
      </w:r>
    </w:p>
    <w:p w14:paraId="09DFD65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文档交付物就绪： 已整理并准备好全套安全交付文档，包括但不限于：《安全架构设计文档》、《系统安全配置清单》、《渗透测试报告》、《应急响应预案》、《安全培训记录》等，可供最终项目验收（合同第10条）时提交。</w:t>
      </w:r>
    </w:p>
    <w:p w14:paraId="31A4DE7A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总结与运维期安全过渡计划</w:t>
      </w:r>
    </w:p>
    <w:p w14:paraId="77689A8A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总体评价：</w:t>
      </w:r>
    </w:p>
    <w:p w14:paraId="6E50165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信息安全管理工作实现了从“规划建设”到“稳定运行”的平稳过渡，建立了一套贴合智慧农业综合体业务特点、有效可控的安全防护体系，完全达到了项目初期设定的安全目标，并满足了国家法律法规及合同的强制性要求。</w:t>
      </w:r>
    </w:p>
    <w:p w14:paraId="6744C0FD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后续重点工作（运维服务期）：</w:t>
      </w:r>
    </w:p>
    <w:p w14:paraId="10B06C2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根据合同</w:t>
      </w:r>
      <w:r>
        <w:rPr>
          <w:rFonts w:hint="eastAsia"/>
          <w:lang w:val="en-US" w:eastAsia="zh-CN"/>
        </w:rPr>
        <w:t>规定</w:t>
      </w:r>
      <w:r>
        <w:rPr>
          <w:rFonts w:hint="default"/>
          <w:lang w:val="en-US" w:eastAsia="zh-CN"/>
        </w:rPr>
        <w:t>，项目将进入为期三年的质量保证与运维服务期。信息安全工</w:t>
      </w:r>
      <w:bookmarkStart w:id="3" w:name="_GoBack"/>
      <w:bookmarkEnd w:id="3"/>
      <w:r>
        <w:rPr>
          <w:rFonts w:hint="default"/>
          <w:lang w:val="en-US" w:eastAsia="zh-CN"/>
        </w:rPr>
        <w:t>作的重心将实现以下转移：</w:t>
      </w:r>
    </w:p>
    <w:p w14:paraId="4E2FEB5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从“项目制”转向“服务化”： 制定《运维期信息安全管理规程》，将现有安全控制措施纳入日常运维流程。</w:t>
      </w:r>
    </w:p>
    <w:p w14:paraId="0F0FD84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持续监控与改进： 利用已部署的安全工具进行7x24小时安全监控，定期（每半年）进行安全评估与渗透测试。</w:t>
      </w:r>
    </w:p>
    <w:p w14:paraId="70A3561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事件响应常态化： 将项目期验证有效的应急响应预案固化，并定期对甲方运维团队进行培训与联合演练。</w:t>
      </w:r>
    </w:p>
    <w:p w14:paraId="6A09C49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知识转移： 向甲方指定的运维人员全面移交安全配置文档、管理权限和运维技能，确保安全运维能力的平稳传承。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F1A55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172E78"/>
    <w:rsid w:val="00BA7CA7"/>
    <w:rsid w:val="01821C28"/>
    <w:rsid w:val="0264611C"/>
    <w:rsid w:val="03DE3CAC"/>
    <w:rsid w:val="041F6DCE"/>
    <w:rsid w:val="06FF1E65"/>
    <w:rsid w:val="070659F4"/>
    <w:rsid w:val="07754928"/>
    <w:rsid w:val="099472E7"/>
    <w:rsid w:val="0F7E3A23"/>
    <w:rsid w:val="101B2705"/>
    <w:rsid w:val="108035B1"/>
    <w:rsid w:val="10BB33AB"/>
    <w:rsid w:val="11141C75"/>
    <w:rsid w:val="11FF19BD"/>
    <w:rsid w:val="1329181A"/>
    <w:rsid w:val="14A979BF"/>
    <w:rsid w:val="15DA0777"/>
    <w:rsid w:val="17204E58"/>
    <w:rsid w:val="1844637C"/>
    <w:rsid w:val="18CB4F16"/>
    <w:rsid w:val="1D2D5631"/>
    <w:rsid w:val="1E917E41"/>
    <w:rsid w:val="2020147D"/>
    <w:rsid w:val="23FA0237"/>
    <w:rsid w:val="253D769B"/>
    <w:rsid w:val="269C55D5"/>
    <w:rsid w:val="26F92A28"/>
    <w:rsid w:val="272A0E33"/>
    <w:rsid w:val="278F2208"/>
    <w:rsid w:val="27FF7BCA"/>
    <w:rsid w:val="2BD15D21"/>
    <w:rsid w:val="2E9279E9"/>
    <w:rsid w:val="2F8541A9"/>
    <w:rsid w:val="331C1259"/>
    <w:rsid w:val="3508367E"/>
    <w:rsid w:val="39795389"/>
    <w:rsid w:val="3A2D4A6A"/>
    <w:rsid w:val="3A8915DF"/>
    <w:rsid w:val="3B351E28"/>
    <w:rsid w:val="3FFA53EF"/>
    <w:rsid w:val="409D25EB"/>
    <w:rsid w:val="41186492"/>
    <w:rsid w:val="42036E22"/>
    <w:rsid w:val="45B71FEF"/>
    <w:rsid w:val="482A48B6"/>
    <w:rsid w:val="487321E2"/>
    <w:rsid w:val="49D059CC"/>
    <w:rsid w:val="4A4D25BF"/>
    <w:rsid w:val="4BB072A9"/>
    <w:rsid w:val="4BE17463"/>
    <w:rsid w:val="533F163E"/>
    <w:rsid w:val="546926EB"/>
    <w:rsid w:val="547A35C0"/>
    <w:rsid w:val="55515659"/>
    <w:rsid w:val="56DE0AFD"/>
    <w:rsid w:val="581F37ED"/>
    <w:rsid w:val="59B00317"/>
    <w:rsid w:val="5A951B44"/>
    <w:rsid w:val="5B433C96"/>
    <w:rsid w:val="5C3D6937"/>
    <w:rsid w:val="5CA40CE0"/>
    <w:rsid w:val="60F90953"/>
    <w:rsid w:val="62D022B3"/>
    <w:rsid w:val="64966E1D"/>
    <w:rsid w:val="65091AAC"/>
    <w:rsid w:val="655B1BDC"/>
    <w:rsid w:val="67E047E8"/>
    <w:rsid w:val="68363CFA"/>
    <w:rsid w:val="6A882277"/>
    <w:rsid w:val="6E645FA5"/>
    <w:rsid w:val="70853FB1"/>
    <w:rsid w:val="72C60FDD"/>
    <w:rsid w:val="72CC236B"/>
    <w:rsid w:val="76684159"/>
    <w:rsid w:val="78324A1E"/>
    <w:rsid w:val="7F87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1964</Words>
  <Characters>2092</Characters>
  <Lines>0</Lines>
  <Paragraphs>0</Paragraphs>
  <TotalTime>0</TotalTime>
  <ScaleCrop>false</ScaleCrop>
  <LinksUpToDate>false</LinksUpToDate>
  <CharactersWithSpaces>2168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2025-12-25T17:23:29Z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