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36CCC">
      <w:pPr>
        <w:keepLines w:val="0"/>
        <w:pageBreakBefore w:val="0"/>
        <w:widowControl w:val="0"/>
        <w:wordWrap/>
        <w:overflowPunct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3E4E9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2950159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6717"/>
      <w:r>
        <w:rPr>
          <w:rFonts w:hint="eastAsia"/>
          <w:lang w:val="en-US" w:eastAsia="zh-CN"/>
        </w:rPr>
        <w:t>青岛瑞源工程集团有限公司</w:t>
      </w:r>
      <w:bookmarkEnd w:id="0"/>
    </w:p>
    <w:p w14:paraId="01AA9365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6854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AA2A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254822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5C5033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9559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04D0BE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36918984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36918984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7173932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518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9FA300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0740100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0A505E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D20A263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53DBB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79F800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EEF9A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CE42B9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46D99E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9BF8E1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BDEDE4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CCB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6D05A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BB73FF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CD9468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D9C96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35AEED6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bookmarkStart w:id="55" w:name="_GoBack"/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835564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8355640"/>
                <w:lang w:val="en-US" w:eastAsia="zh-CN"/>
              </w:rPr>
              <w:t>振</w:t>
            </w:r>
            <w:bookmarkEnd w:id="55"/>
          </w:p>
        </w:tc>
        <w:tc>
          <w:tcPr>
            <w:tcW w:w="1240" w:type="dxa"/>
          </w:tcPr>
          <w:p w14:paraId="7CAE7BD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765909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EF1FC2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272688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96B27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94BCE2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8EC210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F60CAC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62EF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9B08B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938229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84CD19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F6FB2C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88E7E1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5B1AC8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96E40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F5D969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FF926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6BCD4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9087AB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F287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7C6EA1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BCBE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8128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2D4654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A942A2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9EE909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00EAE9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57D4CF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72AB2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CFAEE4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11AEC9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D3DC29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D554F6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5CEBF0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54F4E1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1BDE9E4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C89D17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E09B127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_Toc26717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7C1F4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_Toc26854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0C63CD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74A58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7BE778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E32B13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40396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6B8F06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研发组</w:t>
          </w:r>
          <w:r>
            <w:tab/>
          </w:r>
          <w:r>
            <w:fldChar w:fldCharType="begin"/>
          </w:r>
          <w:r>
            <w:instrText xml:space="preserve"> PAGEREF _Toc6223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32763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C2893D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8B294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_Toc12982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3F57EC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_Toc17504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75855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_Toc13395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8DECE1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_Toc16410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3360B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EC65F8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_Toc8105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1F903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F15075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7A5BD1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5504B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_Toc20519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DE01D6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_Toc14984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E82E67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309619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3AEEE0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_Toc32332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8D668F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_Toc13104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D81EC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E2FD52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_Toc14006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D21E0C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_Toc27420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8AE0CD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_Toc29530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F0C4A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_Toc18178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D7AEE7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46CA1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66D9B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_Toc16931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B555A8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_Toc11092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E78435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C73D44C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DE8D7FA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32177"/>
      <w:r>
        <w:t>目的</w:t>
      </w:r>
      <w:bookmarkEnd w:id="2"/>
    </w:p>
    <w:p w14:paraId="2702FEA2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 w14:paraId="1429DA4D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0508"/>
      <w:r>
        <w:rPr>
          <w:rFonts w:hint="eastAsia"/>
          <w:lang w:val="en-US" w:eastAsia="zh-CN"/>
        </w:rPr>
        <w:t>原则</w:t>
      </w:r>
      <w:bookmarkEnd w:id="3"/>
    </w:p>
    <w:p w14:paraId="4E242CDC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全面性原则：</w:t>
      </w:r>
    </w:p>
    <w:p w14:paraId="0D5EB4AD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 w14:paraId="23FBBCF9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准确性原则：</w:t>
      </w:r>
    </w:p>
    <w:p w14:paraId="37EE6C4B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 w14:paraId="2647D04E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安全性原则：</w:t>
      </w:r>
    </w:p>
    <w:p w14:paraId="503A7288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 w14:paraId="5875C358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合规性原则：</w:t>
      </w:r>
    </w:p>
    <w:p w14:paraId="797F41D1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 w14:paraId="3CD10292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实用性原则：</w:t>
      </w:r>
    </w:p>
    <w:p w14:paraId="288B8CC3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 w14:paraId="5E6A5D5C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8950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2B524079">
      <w:pPr>
        <w:pStyle w:val="29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 w14:paraId="48DD690F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21944"/>
      <w:r>
        <w:rPr>
          <w:rFonts w:hint="eastAsia"/>
          <w:lang w:val="en-US" w:eastAsia="zh-CN"/>
        </w:rPr>
        <w:t>岗位职责</w:t>
      </w:r>
      <w:bookmarkEnd w:id="5"/>
    </w:p>
    <w:p w14:paraId="170966CD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24224"/>
      <w:r>
        <w:rPr>
          <w:rFonts w:hint="eastAsia"/>
          <w:lang w:val="en-US" w:eastAsia="zh-CN"/>
        </w:rPr>
        <w:t>平台运维组</w:t>
      </w:r>
      <w:bookmarkEnd w:id="6"/>
    </w:p>
    <w:p w14:paraId="3ACAAC52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负责服务数据管理系统的建设、维护和技术支持，保障系统安全稳定运行，提供数据存储、处理、分析等技术服务。</w:t>
      </w:r>
    </w:p>
    <w:p w14:paraId="18276F9C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 w14:paraId="5E74FB43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 w:ascii="宋体" w:hAnsi="宋体" w:cs="宋体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 w14:paraId="33F88B5D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6223"/>
      <w:r>
        <w:rPr>
          <w:rFonts w:hint="eastAsia"/>
          <w:lang w:val="en-US" w:eastAsia="zh-CN"/>
        </w:rPr>
        <w:t>研发组</w:t>
      </w:r>
      <w:bookmarkEnd w:id="7"/>
    </w:p>
    <w:p w14:paraId="51F51E01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 w14:paraId="558920AF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8" w:name="bookmark3"/>
      <w:bookmarkEnd w:id="8"/>
      <w:bookmarkStart w:id="9" w:name="_Toc1594"/>
      <w:bookmarkStart w:id="10" w:name="_Toc17424"/>
      <w:r>
        <w:rPr>
          <w:rFonts w:hint="eastAsia"/>
          <w:lang w:val="en-US" w:eastAsia="zh-CN"/>
        </w:rPr>
        <w:t>服务数据管理</w:t>
      </w:r>
      <w:bookmarkEnd w:id="9"/>
      <w:bookmarkEnd w:id="10"/>
    </w:p>
    <w:p w14:paraId="31143CFF">
      <w:pPr>
        <w:pStyle w:val="30"/>
        <w:keepLines w:val="0"/>
        <w:pageBreakBefore w:val="0"/>
        <w:widowControl w:val="0"/>
        <w:wordWrap/>
        <w:overflowPunct/>
        <w:bidi w:val="0"/>
      </w:pPr>
      <w:bookmarkStart w:id="11" w:name="_Toc25348"/>
      <w:r>
        <w:t>服务数据全生命周期管理</w:t>
      </w:r>
      <w:bookmarkEnd w:id="11"/>
    </w:p>
    <w:p w14:paraId="132A1FC7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 w14:paraId="30BAED67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5F5879D0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7A9CEB5B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 w14:paraId="0629C84E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 w14:paraId="060640DB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 w14:paraId="418D1273">
      <w:pPr>
        <w:pStyle w:val="31"/>
        <w:keepLines w:val="0"/>
        <w:pageBreakBefore w:val="0"/>
        <w:widowControl w:val="0"/>
        <w:wordWrap/>
        <w:overflowPunct/>
        <w:bidi w:val="0"/>
      </w:pPr>
      <w:bookmarkStart w:id="12" w:name="bookmark9"/>
      <w:bookmarkEnd w:id="12"/>
      <w:bookmarkStart w:id="13" w:name="_Toc12982"/>
      <w:r>
        <w:t>数据采集</w:t>
      </w:r>
      <w:bookmarkEnd w:id="13"/>
    </w:p>
    <w:p w14:paraId="203843B6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采集范围</w:t>
      </w:r>
    </w:p>
    <w:p w14:paraId="3DF350BB">
      <w:pPr>
        <w:pStyle w:val="29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 w14:paraId="7E6FA978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采集标准</w:t>
      </w:r>
    </w:p>
    <w:p w14:paraId="6CDD0A73">
      <w:pPr>
        <w:pStyle w:val="29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 w14:paraId="018DC1C6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采集方式</w:t>
      </w:r>
    </w:p>
    <w:p w14:paraId="25F64CFE">
      <w:pPr>
        <w:pStyle w:val="29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平台运维组配置自动采集规则；对于需人工录入的数据（如客户口头反馈、现场服务情况等），由业务人员通过指定系统或表单及时、准确录入。</w:t>
      </w:r>
    </w:p>
    <w:p w14:paraId="4E16EB0E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采集责任</w:t>
      </w:r>
    </w:p>
    <w:p w14:paraId="468C3584">
      <w:pPr>
        <w:pStyle w:val="29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平台运维组</w:t>
      </w:r>
      <w:r>
        <w:t>定期检查采集完成情况。</w:t>
      </w:r>
    </w:p>
    <w:p w14:paraId="7A160999">
      <w:pPr>
        <w:pStyle w:val="31"/>
        <w:keepLines w:val="0"/>
        <w:pageBreakBefore w:val="0"/>
        <w:widowControl w:val="0"/>
        <w:wordWrap/>
        <w:overflowPunct/>
        <w:bidi w:val="0"/>
      </w:pPr>
      <w:bookmarkStart w:id="14" w:name="_Toc17504"/>
      <w:r>
        <w:t>数据存储</w:t>
      </w:r>
      <w:bookmarkEnd w:id="14"/>
    </w:p>
    <w:p w14:paraId="426B9973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存储要求</w:t>
      </w:r>
    </w:p>
    <w:p w14:paraId="4B299BED">
      <w:pPr>
        <w:pStyle w:val="29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 w14:paraId="19D47EE3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存储分类</w:t>
      </w:r>
    </w:p>
    <w:p w14:paraId="05CFC114">
      <w:pPr>
        <w:pStyle w:val="29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 w14:paraId="5A600D52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存储期限</w:t>
      </w:r>
    </w:p>
    <w:p w14:paraId="3A616147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 w14:paraId="536AD00E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数据备份</w:t>
      </w:r>
    </w:p>
    <w:p w14:paraId="2E86FB05">
      <w:pPr>
        <w:pStyle w:val="29"/>
        <w:keepLines w:val="0"/>
        <w:pageBreakBefore w:val="0"/>
        <w:widowControl w:val="0"/>
        <w:wordWrap/>
        <w:overflowPunct/>
        <w:bidi w:val="0"/>
      </w:pPr>
      <w:r>
        <w:t>平台运维组负责制定数据备份计划，定期对服务数据进行备份，备份频率至少为每日一次。备份数据需进行加密处理，并存储在安全的地点，定期进行备份恢复测试，确保备份数据的可用性。</w:t>
      </w:r>
    </w:p>
    <w:p w14:paraId="7EE97AD3">
      <w:pPr>
        <w:pStyle w:val="31"/>
        <w:keepLines w:val="0"/>
        <w:pageBreakBefore w:val="0"/>
        <w:widowControl w:val="0"/>
        <w:wordWrap/>
        <w:overflowPunct/>
        <w:bidi w:val="0"/>
      </w:pPr>
      <w:bookmarkStart w:id="15" w:name="bookmark11"/>
      <w:bookmarkEnd w:id="15"/>
      <w:bookmarkStart w:id="16" w:name="_Toc13395"/>
      <w:r>
        <w:t>数据处理与转换</w:t>
      </w:r>
      <w:bookmarkEnd w:id="16"/>
    </w:p>
    <w:p w14:paraId="20558FD8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数据清洗</w:t>
      </w:r>
    </w:p>
    <w:p w14:paraId="47C1778F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平台运维组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 w14:paraId="52D4BEFE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数据转换</w:t>
      </w:r>
    </w:p>
    <w:p w14:paraId="054C329D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 w14:paraId="18D98FC5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数据整合</w:t>
      </w:r>
    </w:p>
    <w:p w14:paraId="6F3424ED">
      <w:pPr>
        <w:pStyle w:val="29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 w14:paraId="3CD896F0">
      <w:pPr>
        <w:pStyle w:val="31"/>
        <w:keepLines w:val="0"/>
        <w:pageBreakBefore w:val="0"/>
        <w:widowControl w:val="0"/>
        <w:wordWrap/>
        <w:overflowPunct/>
        <w:bidi w:val="0"/>
      </w:pPr>
      <w:bookmarkStart w:id="17" w:name="bookmark12"/>
      <w:bookmarkEnd w:id="17"/>
      <w:bookmarkStart w:id="18" w:name="_Toc16409"/>
      <w:r>
        <w:t>数据使用与共享</w:t>
      </w:r>
      <w:bookmarkEnd w:id="18"/>
    </w:p>
    <w:p w14:paraId="69B40AD0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数据使用权限</w:t>
      </w:r>
    </w:p>
    <w:p w14:paraId="0781B8D5">
      <w:pPr>
        <w:pStyle w:val="29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 w14:paraId="2D134C2C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数据使用规范</w:t>
      </w:r>
    </w:p>
    <w:p w14:paraId="5B049E59">
      <w:pPr>
        <w:pStyle w:val="29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 w14:paraId="04E4FFB5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数据共享机制</w:t>
      </w:r>
    </w:p>
    <w:p w14:paraId="2135ADE2">
      <w:pPr>
        <w:pStyle w:val="29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 w14:paraId="33399C09">
      <w:pPr>
        <w:pStyle w:val="29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 w14:paraId="1D15087C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27287"/>
      <w:r>
        <w:t>数据销毁</w:t>
      </w:r>
      <w:bookmarkEnd w:id="19"/>
    </w:p>
    <w:p w14:paraId="7CE622F4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销毁条件</w:t>
      </w:r>
    </w:p>
    <w:p w14:paraId="409AE251">
      <w:pPr>
        <w:pStyle w:val="29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 w14:paraId="69E63B39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销毁流程</w:t>
      </w:r>
    </w:p>
    <w:p w14:paraId="0199F8B1">
      <w:pPr>
        <w:pStyle w:val="29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平台运维组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批准后，由平台运维组按照规定的销毁方式进行销毁。</w:t>
      </w:r>
    </w:p>
    <w:p w14:paraId="3433B6C5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销毁方式</w:t>
      </w:r>
    </w:p>
    <w:p w14:paraId="557E6322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 w14:paraId="1DB181A3">
      <w:pPr>
        <w:pStyle w:val="30"/>
        <w:keepLines w:val="0"/>
        <w:pageBreakBefore w:val="0"/>
        <w:widowControl w:val="0"/>
        <w:wordWrap/>
        <w:overflowPunct/>
        <w:bidi w:val="0"/>
      </w:pPr>
      <w:bookmarkStart w:id="20" w:name="_Toc8095"/>
      <w:r>
        <w:t>数据安全与合规</w:t>
      </w:r>
      <w:bookmarkEnd w:id="20"/>
    </w:p>
    <w:p w14:paraId="750633EB">
      <w:pPr>
        <w:pStyle w:val="31"/>
        <w:keepLines w:val="0"/>
        <w:pageBreakBefore w:val="0"/>
        <w:widowControl w:val="0"/>
        <w:wordWrap/>
        <w:overflowPunct/>
        <w:bidi w:val="0"/>
      </w:pPr>
      <w:bookmarkStart w:id="21" w:name="bookmark15"/>
      <w:bookmarkEnd w:id="21"/>
      <w:bookmarkStart w:id="22" w:name="_Toc18733"/>
      <w:r>
        <w:t>安全防护</w:t>
      </w:r>
      <w:bookmarkEnd w:id="22"/>
    </w:p>
    <w:p w14:paraId="1E120520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访问控制</w:t>
      </w:r>
    </w:p>
    <w:p w14:paraId="33CB5DC1">
      <w:pPr>
        <w:pStyle w:val="29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 w14:paraId="5427BC69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数据加密</w:t>
      </w:r>
    </w:p>
    <w:p w14:paraId="06D81531">
      <w:pPr>
        <w:pStyle w:val="29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 w14:paraId="7B29DBF0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安全审计</w:t>
      </w:r>
    </w:p>
    <w:p w14:paraId="6C1967E1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平台运维组经理</w:t>
      </w:r>
      <w:r>
        <w:t>负责对服务数据的访问、操作等行为进行安全审计，记录审计日志，定期分析审计结果，及时发现和处理安全隐患。</w:t>
      </w:r>
    </w:p>
    <w:p w14:paraId="70EA848C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应急响应</w:t>
      </w:r>
    </w:p>
    <w:p w14:paraId="110F65DA">
      <w:pPr>
        <w:pStyle w:val="29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 w14:paraId="11ECB8AF">
      <w:pPr>
        <w:pStyle w:val="31"/>
        <w:keepLines w:val="0"/>
        <w:pageBreakBefore w:val="0"/>
        <w:widowControl w:val="0"/>
        <w:wordWrap/>
        <w:overflowPunct/>
        <w:bidi w:val="0"/>
      </w:pPr>
      <w:bookmarkStart w:id="23" w:name="bookmark16"/>
      <w:bookmarkEnd w:id="23"/>
      <w:bookmarkStart w:id="24" w:name="_Toc3"/>
      <w:r>
        <w:t>合规管理</w:t>
      </w:r>
      <w:bookmarkEnd w:id="24"/>
    </w:p>
    <w:p w14:paraId="075FADFF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法律法规遵循</w:t>
      </w:r>
    </w:p>
    <w:p w14:paraId="186DC73E">
      <w:pPr>
        <w:pStyle w:val="29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 w14:paraId="2D28339F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行业标准执行</w:t>
      </w:r>
    </w:p>
    <w:p w14:paraId="32CB6409">
      <w:pPr>
        <w:pStyle w:val="29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 w14:paraId="2C6B9F68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隐私保护</w:t>
      </w:r>
    </w:p>
    <w:p w14:paraId="742947D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 w14:paraId="55E45FF2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_Toc22699"/>
      <w:r>
        <w:t>数据质量控制</w:t>
      </w:r>
      <w:bookmarkEnd w:id="25"/>
    </w:p>
    <w:p w14:paraId="5295D20F">
      <w:pPr>
        <w:pStyle w:val="31"/>
        <w:keepLines w:val="0"/>
        <w:pageBreakBefore w:val="0"/>
        <w:widowControl w:val="0"/>
        <w:wordWrap/>
        <w:overflowPunct/>
        <w:bidi w:val="0"/>
      </w:pPr>
      <w:bookmarkStart w:id="26" w:name="bookmark18"/>
      <w:bookmarkEnd w:id="26"/>
      <w:bookmarkStart w:id="27" w:name="_Toc20519"/>
      <w:r>
        <w:t>质量指标</w:t>
      </w:r>
      <w:bookmarkEnd w:id="27"/>
    </w:p>
    <w:p w14:paraId="48C7FB48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准确性</w:t>
      </w:r>
    </w:p>
    <w:p w14:paraId="670CA9F3">
      <w:pPr>
        <w:pStyle w:val="29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 w14:paraId="27D8F295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完整性</w:t>
      </w:r>
    </w:p>
    <w:p w14:paraId="7A65D4F1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 w14:paraId="0196D067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一致性</w:t>
      </w:r>
    </w:p>
    <w:p w14:paraId="07A4C730">
      <w:pPr>
        <w:pStyle w:val="29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 w14:paraId="457599D8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及时性</w:t>
      </w:r>
    </w:p>
    <w:p w14:paraId="2CA13DDD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 w14:paraId="550DBBEF">
      <w:pPr>
        <w:pStyle w:val="31"/>
        <w:keepLines w:val="0"/>
        <w:pageBreakBefore w:val="0"/>
        <w:widowControl w:val="0"/>
        <w:wordWrap/>
        <w:overflowPunct/>
        <w:bidi w:val="0"/>
      </w:pPr>
      <w:bookmarkStart w:id="28" w:name="bookmark19"/>
      <w:bookmarkEnd w:id="28"/>
      <w:bookmarkStart w:id="29" w:name="_Toc14984"/>
      <w:r>
        <w:t>质量监控</w:t>
      </w:r>
      <w:bookmarkEnd w:id="29"/>
    </w:p>
    <w:p w14:paraId="66297A1B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leftChars="0" w:hanging="425" w:firstLineChars="0"/>
      </w:pPr>
      <w:r>
        <w:t>日常监控</w:t>
      </w:r>
    </w:p>
    <w:p w14:paraId="6642A66C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平台运维组</w:t>
      </w:r>
      <w:r>
        <w:t>通过数据管理系统对服务数据质量进行实时监控，设置数据质量预警阈值，当数据质量指标超出阈值时，及时发出预警信息。</w:t>
      </w:r>
    </w:p>
    <w:p w14:paraId="58EA066F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leftChars="0" w:hanging="425" w:firstLineChars="0"/>
      </w:pPr>
      <w:r>
        <w:t>定期检查</w:t>
      </w:r>
    </w:p>
    <w:p w14:paraId="62DBDE2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平台运维组</w:t>
      </w:r>
      <w:r>
        <w:t>每月组织一次服务数据质量检查，对数据准确性、完整性、一致性等进行全面检查，形成质量检查报告。</w:t>
      </w:r>
    </w:p>
    <w:p w14:paraId="2F8F8509">
      <w:pPr>
        <w:pStyle w:val="31"/>
        <w:keepLines w:val="0"/>
        <w:pageBreakBefore w:val="0"/>
        <w:widowControl w:val="0"/>
        <w:wordWrap/>
        <w:overflowPunct/>
        <w:bidi w:val="0"/>
      </w:pPr>
      <w:bookmarkStart w:id="30" w:name="bookmark20"/>
      <w:bookmarkEnd w:id="30"/>
      <w:bookmarkStart w:id="31" w:name="_Toc18773"/>
      <w:r>
        <w:t>质量改进</w:t>
      </w:r>
      <w:bookmarkEnd w:id="31"/>
    </w:p>
    <w:p w14:paraId="283A6BC9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问题整改</w:t>
      </w:r>
    </w:p>
    <w:p w14:paraId="161D4950">
      <w:pPr>
        <w:pStyle w:val="29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平台运维组</w:t>
      </w:r>
      <w:r>
        <w:t>向相关业务部门下达整改通知，明确整改要求和期限，跟踪整改情况，确保问题及时解决。</w:t>
      </w:r>
    </w:p>
    <w:p w14:paraId="2C71A30A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流程优化</w:t>
      </w:r>
    </w:p>
    <w:p w14:paraId="3DE338D4">
      <w:pPr>
        <w:pStyle w:val="29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 w14:paraId="3470AF60">
      <w:pPr>
        <w:pStyle w:val="30"/>
        <w:keepLines w:val="0"/>
        <w:pageBreakBefore w:val="0"/>
        <w:widowControl w:val="0"/>
        <w:wordWrap/>
        <w:overflowPunct/>
        <w:bidi w:val="0"/>
      </w:pPr>
      <w:bookmarkStart w:id="32" w:name="bookmark21"/>
      <w:bookmarkEnd w:id="32"/>
      <w:bookmarkStart w:id="33" w:name="_Toc12751"/>
      <w:r>
        <w:t>数据共享与应用</w:t>
      </w:r>
      <w:bookmarkEnd w:id="33"/>
    </w:p>
    <w:p w14:paraId="5D449BA0">
      <w:pPr>
        <w:pStyle w:val="31"/>
        <w:keepLines w:val="0"/>
        <w:pageBreakBefore w:val="0"/>
        <w:widowControl w:val="0"/>
        <w:wordWrap/>
        <w:overflowPunct/>
        <w:bidi w:val="0"/>
      </w:pPr>
      <w:bookmarkStart w:id="34" w:name="bookmark22"/>
      <w:bookmarkEnd w:id="34"/>
      <w:bookmarkStart w:id="35" w:name="_Toc32332"/>
      <w:r>
        <w:t>数据共享</w:t>
      </w:r>
      <w:bookmarkEnd w:id="35"/>
    </w:p>
    <w:p w14:paraId="4B1A00AE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共享范围</w:t>
      </w:r>
    </w:p>
    <w:p w14:paraId="3A7C3319">
      <w:pPr>
        <w:pStyle w:val="29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 w14:paraId="25F352F7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共享流程</w:t>
      </w:r>
    </w:p>
    <w:p w14:paraId="58AC421C">
      <w:pPr>
        <w:pStyle w:val="29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平台运维组</w:t>
      </w:r>
      <w:r>
        <w:t>提出申请，</w:t>
      </w:r>
      <w:r>
        <w:rPr>
          <w:rFonts w:hint="eastAsia"/>
          <w:lang w:eastAsia="zh-CN"/>
        </w:rPr>
        <w:t>平台运维组</w:t>
      </w:r>
      <w:r>
        <w:t>审核后，协调数据提供部门提供数据，并对共享数据进行脱敏处理。</w:t>
      </w:r>
    </w:p>
    <w:p w14:paraId="61AF53FC">
      <w:pPr>
        <w:pStyle w:val="31"/>
        <w:keepLines w:val="0"/>
        <w:pageBreakBefore w:val="0"/>
        <w:widowControl w:val="0"/>
        <w:wordWrap/>
        <w:overflowPunct/>
        <w:bidi w:val="0"/>
      </w:pPr>
      <w:bookmarkStart w:id="36" w:name="bookmark23"/>
      <w:bookmarkEnd w:id="36"/>
      <w:bookmarkStart w:id="37" w:name="_Toc13094"/>
      <w:r>
        <w:t>数据应用</w:t>
      </w:r>
      <w:bookmarkEnd w:id="37"/>
    </w:p>
    <w:p w14:paraId="06EC793E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服务优化</w:t>
      </w:r>
    </w:p>
    <w:p w14:paraId="52F6C8B0">
      <w:pPr>
        <w:pStyle w:val="29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 w14:paraId="6B3006F1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决策支持</w:t>
      </w:r>
    </w:p>
    <w:p w14:paraId="69D4DB0F">
      <w:pPr>
        <w:pStyle w:val="29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 w14:paraId="094A86C8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客户服务</w:t>
      </w:r>
    </w:p>
    <w:p w14:paraId="4FBE6035">
      <w:pPr>
        <w:pStyle w:val="29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 w14:paraId="7EF6E081">
      <w:pPr>
        <w:pStyle w:val="30"/>
        <w:keepLines w:val="0"/>
        <w:pageBreakBefore w:val="0"/>
        <w:widowControl w:val="0"/>
        <w:wordWrap/>
        <w:overflowPunct/>
        <w:bidi w:val="0"/>
      </w:pPr>
      <w:bookmarkStart w:id="38" w:name="bookmark24"/>
      <w:bookmarkEnd w:id="38"/>
      <w:bookmarkStart w:id="39" w:name="bookmark35"/>
      <w:bookmarkEnd w:id="39"/>
      <w:bookmarkStart w:id="40" w:name="_Toc1610"/>
      <w:r>
        <w:t>监督与审计</w:t>
      </w:r>
      <w:bookmarkEnd w:id="40"/>
    </w:p>
    <w:p w14:paraId="4A72C78B">
      <w:pPr>
        <w:pStyle w:val="31"/>
        <w:keepLines w:val="0"/>
        <w:pageBreakBefore w:val="0"/>
        <w:widowControl w:val="0"/>
        <w:wordWrap/>
        <w:overflowPunct/>
        <w:bidi w:val="0"/>
      </w:pPr>
      <w:bookmarkStart w:id="41" w:name="bookmark25"/>
      <w:bookmarkEnd w:id="41"/>
      <w:bookmarkStart w:id="42" w:name="_Toc14006"/>
      <w:r>
        <w:t>内部监督</w:t>
      </w:r>
      <w:bookmarkEnd w:id="42"/>
    </w:p>
    <w:p w14:paraId="4E0B54A7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部门自查</w:t>
      </w:r>
    </w:p>
    <w:p w14:paraId="3A0DE6AB">
      <w:pPr>
        <w:pStyle w:val="29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平台运维组</w:t>
      </w:r>
      <w:r>
        <w:t>。</w:t>
      </w:r>
    </w:p>
    <w:p w14:paraId="2839BA64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专项检查：</w:t>
      </w:r>
    </w:p>
    <w:p w14:paraId="1EA8077B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平台运维组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 w14:paraId="0F3BC546">
      <w:pPr>
        <w:pStyle w:val="30"/>
        <w:keepLines w:val="0"/>
        <w:pageBreakBefore w:val="0"/>
        <w:widowControl w:val="0"/>
        <w:wordWrap/>
        <w:overflowPunct/>
        <w:bidi w:val="0"/>
      </w:pPr>
      <w:bookmarkStart w:id="43" w:name="_Toc27420"/>
      <w:r>
        <w:t>制度评审与改进</w:t>
      </w:r>
      <w:bookmarkEnd w:id="43"/>
    </w:p>
    <w:p w14:paraId="7DAF598A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评审周期</w:t>
      </w:r>
    </w:p>
    <w:p w14:paraId="171255B2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 w14:paraId="6E763BC3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持续改进</w:t>
      </w:r>
    </w:p>
    <w:p w14:paraId="5A9B41E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 w14:paraId="438584FF">
      <w:pPr>
        <w:pStyle w:val="31"/>
        <w:keepLines w:val="0"/>
        <w:pageBreakBefore w:val="0"/>
        <w:widowControl w:val="0"/>
        <w:wordWrap/>
        <w:overflowPunct/>
        <w:bidi w:val="0"/>
      </w:pPr>
      <w:bookmarkStart w:id="44" w:name="bookmark26"/>
      <w:bookmarkEnd w:id="44"/>
      <w:bookmarkStart w:id="45" w:name="_Toc29530"/>
      <w:r>
        <w:t>外部审计</w:t>
      </w:r>
      <w:bookmarkEnd w:id="45"/>
    </w:p>
    <w:p w14:paraId="2A0CDD95">
      <w:pPr>
        <w:pStyle w:val="29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 w14:paraId="6BDA149D">
      <w:pPr>
        <w:pStyle w:val="30"/>
        <w:keepLines w:val="0"/>
        <w:pageBreakBefore w:val="0"/>
        <w:widowControl w:val="0"/>
        <w:wordWrap/>
        <w:overflowPunct/>
        <w:bidi w:val="0"/>
      </w:pPr>
      <w:bookmarkStart w:id="46" w:name="bookmark28"/>
      <w:bookmarkEnd w:id="46"/>
      <w:bookmarkStart w:id="47" w:name="bookmark27"/>
      <w:bookmarkEnd w:id="47"/>
      <w:bookmarkStart w:id="48" w:name="_Toc18178"/>
      <w:r>
        <w:t>培训与宣贯</w:t>
      </w:r>
      <w:bookmarkEnd w:id="48"/>
    </w:p>
    <w:p w14:paraId="4EBB0A75">
      <w:pPr>
        <w:pStyle w:val="39"/>
        <w:numPr>
          <w:ilvl w:val="0"/>
          <w:numId w:val="20"/>
        </w:numPr>
        <w:bidi w:val="0"/>
      </w:pPr>
      <w:r>
        <w:t>培训计划</w:t>
      </w:r>
    </w:p>
    <w:p w14:paraId="70D63A96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平台运维组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 w14:paraId="54B1239F">
      <w:pPr>
        <w:pStyle w:val="39"/>
        <w:numPr>
          <w:ilvl w:val="0"/>
          <w:numId w:val="20"/>
        </w:numPr>
        <w:bidi w:val="0"/>
      </w:pPr>
      <w:r>
        <w:t>宣贯活动</w:t>
      </w:r>
    </w:p>
    <w:p w14:paraId="08F65F55">
      <w:pPr>
        <w:pStyle w:val="29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 w14:paraId="3A6DEFAC">
      <w:pPr>
        <w:pStyle w:val="30"/>
        <w:keepLines w:val="0"/>
        <w:pageBreakBefore w:val="0"/>
        <w:widowControl w:val="0"/>
        <w:wordWrap/>
        <w:overflowPunct/>
        <w:bidi w:val="0"/>
      </w:pPr>
      <w:bookmarkStart w:id="49" w:name="bookmark29"/>
      <w:bookmarkEnd w:id="49"/>
      <w:bookmarkStart w:id="50" w:name="_Toc12500"/>
      <w:r>
        <w:t>考核指标</w:t>
      </w:r>
      <w:bookmarkEnd w:id="50"/>
    </w:p>
    <w:tbl>
      <w:tblPr>
        <w:tblStyle w:val="21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39"/>
        <w:gridCol w:w="1353"/>
        <w:gridCol w:w="1583"/>
      </w:tblGrid>
      <w:tr w14:paraId="42CA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A3AC72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3739" w:type="dxa"/>
          </w:tcPr>
          <w:p w14:paraId="2D9720D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374396F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21EF556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指标要求</w:t>
            </w:r>
          </w:p>
        </w:tc>
      </w:tr>
      <w:tr w14:paraId="10F9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543D788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739" w:type="dxa"/>
          </w:tcPr>
          <w:p w14:paraId="1F79C1C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353" w:type="dxa"/>
          </w:tcPr>
          <w:p w14:paraId="378D4CC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1583" w:type="dxa"/>
          </w:tcPr>
          <w:p w14:paraId="02472546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6120D0A4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1" w:name="bookmark14"/>
      <w:bookmarkEnd w:id="51"/>
      <w:bookmarkStart w:id="52" w:name="_Toc1837"/>
      <w:r>
        <w:rPr>
          <w:rFonts w:hint="eastAsia"/>
          <w:lang w:val="en-US" w:eastAsia="zh-CN"/>
        </w:rPr>
        <w:t>附则</w:t>
      </w:r>
      <w:bookmarkEnd w:id="52"/>
    </w:p>
    <w:p w14:paraId="66AD964D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D82DA02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E6F12A5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3" w:name="_Toc16931"/>
      <w:r>
        <w:rPr>
          <w:rFonts w:hint="eastAsia"/>
          <w:lang w:val="en-US" w:eastAsia="zh-CN"/>
        </w:rPr>
        <w:t>附件</w:t>
      </w:r>
      <w:bookmarkEnd w:id="53"/>
    </w:p>
    <w:p w14:paraId="374C1718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349351E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4" w:name="_Toc10992"/>
      <w:r>
        <w:rPr>
          <w:rFonts w:hint="eastAsia"/>
          <w:lang w:val="en-US" w:eastAsia="zh-CN"/>
        </w:rPr>
        <w:t>记录</w:t>
      </w:r>
      <w:bookmarkEnd w:id="54"/>
    </w:p>
    <w:p w14:paraId="2937CE7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57C09">
    <w:pPr>
      <w:spacing w:line="209" w:lineRule="auto"/>
      <w:ind w:left="75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5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1C2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793BDDD"/>
    <w:multiLevelType w:val="singleLevel"/>
    <w:tmpl w:val="F793B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85434B7"/>
    <w:multiLevelType w:val="singleLevel"/>
    <w:tmpl w:val="F85434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2DB6DE8"/>
    <w:multiLevelType w:val="singleLevel"/>
    <w:tmpl w:val="02DB6D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4B11A6B"/>
    <w:multiLevelType w:val="singleLevel"/>
    <w:tmpl w:val="14B11A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B8165C8"/>
    <w:multiLevelType w:val="singleLevel"/>
    <w:tmpl w:val="1B8165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0766AC"/>
    <w:multiLevelType w:val="singleLevel"/>
    <w:tmpl w:val="43076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98CC4F3"/>
    <w:multiLevelType w:val="singleLevel"/>
    <w:tmpl w:val="498CC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647180F"/>
    <w:multiLevelType w:val="singleLevel"/>
    <w:tmpl w:val="56471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E8F8094"/>
    <w:multiLevelType w:val="singleLevel"/>
    <w:tmpl w:val="5E8F80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0ED038C"/>
    <w:multiLevelType w:val="singleLevel"/>
    <w:tmpl w:val="70ED0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52606B0"/>
    <w:multiLevelType w:val="singleLevel"/>
    <w:tmpl w:val="752606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F2D4426"/>
    <w:multiLevelType w:val="singleLevel"/>
    <w:tmpl w:val="7F2D44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16"/>
  </w:num>
  <w:num w:numId="5">
    <w:abstractNumId w:val="19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15"/>
  </w:num>
  <w:num w:numId="11">
    <w:abstractNumId w:val="11"/>
  </w:num>
  <w:num w:numId="12">
    <w:abstractNumId w:val="18"/>
  </w:num>
  <w:num w:numId="13">
    <w:abstractNumId w:val="14"/>
  </w:num>
  <w:num w:numId="14">
    <w:abstractNumId w:val="3"/>
  </w:num>
  <w:num w:numId="15">
    <w:abstractNumId w:val="12"/>
  </w:num>
  <w:num w:numId="16">
    <w:abstractNumId w:val="8"/>
  </w:num>
  <w:num w:numId="17">
    <w:abstractNumId w:val="1"/>
  </w:num>
  <w:num w:numId="18">
    <w:abstractNumId w:val="2"/>
  </w:num>
  <w:num w:numId="19">
    <w:abstractNumId w:val="9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4CC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0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4051</Words>
  <Characters>4250</Characters>
  <Lines>0</Lines>
  <Paragraphs>0</Paragraphs>
  <TotalTime>12</TotalTime>
  <ScaleCrop>false</ScaleCrop>
  <LinksUpToDate>false</LinksUpToDate>
  <CharactersWithSpaces>4391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2025-12-01T17:07:15Z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