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FB1F9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2-06</w:t>
      </w:r>
    </w:p>
    <w:p w14:paraId="2444970C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3675E3BB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30823"/>
      <w:r>
        <w:rPr>
          <w:lang w:eastAsia="zh-CN"/>
        </w:rPr>
        <w:t>陕西益利德软件科技有限公司</w:t>
      </w:r>
      <w:bookmarkEnd w:id="0"/>
      <w:bookmarkEnd w:id="1"/>
    </w:p>
    <w:p w14:paraId="22BCA89A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30782"/>
      <w:r>
        <w:rPr>
          <w:rFonts w:hint="eastAsia"/>
          <w:lang w:eastAsia="zh-CN"/>
        </w:rPr>
        <w:t>陕西华龙制药有限公司SPS产品支持服务项目-</w:t>
      </w:r>
      <w:bookmarkEnd w:id="2"/>
      <w:r>
        <w:rPr>
          <w:rFonts w:hint="eastAsia"/>
          <w:lang w:eastAsia="zh-CN"/>
        </w:rPr>
        <w:t>应急演练报告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C2F7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  <w:vAlign w:val="top"/>
          </w:tcPr>
          <w:p w14:paraId="657DEC9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0EBD2DF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2025.12.18</w:t>
            </w:r>
          </w:p>
        </w:tc>
      </w:tr>
      <w:tr w14:paraId="4D4DB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424510C4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5CF79089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2025.12.18</w:t>
            </w:r>
          </w:p>
        </w:tc>
      </w:tr>
      <w:tr w14:paraId="4A43F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9DD80C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302F293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2025.12.18</w:t>
            </w:r>
          </w:p>
        </w:tc>
      </w:tr>
    </w:tbl>
    <w:p w14:paraId="1B0C7671">
      <w:pPr>
        <w:widowControl w:val="0"/>
      </w:pPr>
      <w:r>
        <w:br w:type="page"/>
      </w:r>
    </w:p>
    <w:p w14:paraId="5D258E28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DF5FB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695AEE0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28F2AE8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A81440C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8266DD9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7169777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6CE0611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670E8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6EBE2C6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919" w:type="dxa"/>
          </w:tcPr>
          <w:p w14:paraId="0B9167CB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F6703CA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4CC83643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5257B38F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57BF6A6C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6610B9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C6DB3E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E9152C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B85C33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578EEFC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351801F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E217CAA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441BA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323A2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E472B1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60341A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48A7C7C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458D985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98BCEA4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8B1C6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FD5AAF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76953C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88BEC0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FCD4ED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2E2470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1EF501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58BB3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1B2697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5A97C1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7F427F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80DA77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ACCB79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E553391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19803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1" w:hRule="atLeast"/>
        </w:trPr>
        <w:tc>
          <w:tcPr>
            <w:tcW w:w="1555" w:type="dxa"/>
          </w:tcPr>
          <w:p w14:paraId="228B6BA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185B28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7D2D9C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88F9B5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7A7C37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0634A4C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61E5725C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29280ADA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72A4A904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42723B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"_Toc30823"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_Toc30823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F8A1D2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"_Toc30782"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陕西华龙制药有限公司SPS产品支持服务项目-应急演练报告</w:t>
          </w:r>
          <w:r>
            <w:tab/>
          </w:r>
          <w:r>
            <w:fldChar w:fldCharType="begin"/>
          </w:r>
          <w:r>
            <w:instrText xml:space="preserve"> PAGEREF _Toc30782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7C8BB7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"_Toc12930" </w:instrText>
          </w:r>
          <w:r>
            <w:fldChar w:fldCharType="separate"/>
          </w:r>
          <w:r>
            <w:rPr>
              <w:lang w:eastAsia="zh-CN"/>
            </w:rPr>
            <w:t>1. 摘要</w:t>
          </w:r>
          <w:r>
            <w:tab/>
          </w:r>
          <w:r>
            <w:fldChar w:fldCharType="begin"/>
          </w:r>
          <w:r>
            <w:instrText xml:space="preserve"> PAGEREF _Toc12930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A20B1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"_Toc32330" </w:instrText>
          </w:r>
          <w:r>
            <w:fldChar w:fldCharType="separate"/>
          </w:r>
          <w:r>
            <w:rPr>
              <w:lang w:eastAsia="zh-CN"/>
            </w:rPr>
            <w:t>2. 演练概况</w:t>
          </w:r>
          <w:r>
            <w:tab/>
          </w:r>
          <w:r>
            <w:fldChar w:fldCharType="begin"/>
          </w:r>
          <w:r>
            <w:instrText xml:space="preserve"> PAGEREF _Toc32330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2B5AD2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"_Toc29542" </w:instrText>
          </w:r>
          <w:r>
            <w:fldChar w:fldCharType="separate"/>
          </w:r>
          <w:r>
            <w:rPr>
              <w:lang w:eastAsia="zh-CN"/>
            </w:rPr>
            <w:t>3. 编制依据</w:t>
          </w:r>
          <w:r>
            <w:tab/>
          </w:r>
          <w:r>
            <w:fldChar w:fldCharType="begin"/>
          </w:r>
          <w:r>
            <w:instrText xml:space="preserve"> PAGEREF _Toc29542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7CE87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"_Toc29226" </w:instrText>
          </w:r>
          <w:r>
            <w:fldChar w:fldCharType="separate"/>
          </w:r>
          <w:r>
            <w:rPr>
              <w:lang w:eastAsia="zh-CN"/>
            </w:rPr>
            <w:t>4. 演练实施情况回顾</w:t>
          </w:r>
          <w:r>
            <w:tab/>
          </w:r>
          <w:r>
            <w:fldChar w:fldCharType="begin"/>
          </w:r>
          <w:r>
            <w:instrText xml:space="preserve"> PAGEREF _Toc29226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D05C2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"_Toc25928" </w:instrText>
          </w:r>
          <w:r>
            <w:fldChar w:fldCharType="separate"/>
          </w:r>
          <w:r>
            <w:rPr>
              <w:lang w:eastAsia="zh-CN"/>
            </w:rPr>
            <w:t xml:space="preserve">5. </w:t>
          </w:r>
          <w:r>
            <w:rPr>
              <w:rFonts w:hint="eastAsia"/>
              <w:lang w:eastAsia="zh-CN"/>
            </w:rPr>
            <w:t>演练评估与分析</w:t>
          </w:r>
          <w:r>
            <w:tab/>
          </w:r>
          <w:r>
            <w:fldChar w:fldCharType="begin"/>
          </w:r>
          <w:r>
            <w:instrText xml:space="preserve"> PAGEREF _Toc25928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5C362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"_Toc24730" </w:instrText>
          </w:r>
          <w:r>
            <w:fldChar w:fldCharType="separate"/>
          </w:r>
          <w:r>
            <w:rPr>
              <w:lang w:eastAsia="zh-CN"/>
            </w:rPr>
            <w:t xml:space="preserve">5.1. </w:t>
          </w:r>
          <w:r>
            <w:rPr>
              <w:rFonts w:hint="eastAsia"/>
              <w:lang w:eastAsia="zh-CN"/>
            </w:rPr>
            <w:t>目标达成情况评估</w:t>
          </w:r>
          <w:r>
            <w:tab/>
          </w:r>
          <w:r>
            <w:fldChar w:fldCharType="begin"/>
          </w:r>
          <w:r>
            <w:instrText xml:space="preserve"> PAGEREF _Toc24730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38DC5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"_Toc18386" </w:instrText>
          </w:r>
          <w:r>
            <w:fldChar w:fldCharType="separate"/>
          </w:r>
          <w:r>
            <w:rPr>
              <w:lang w:eastAsia="zh-CN"/>
            </w:rPr>
            <w:t xml:space="preserve">5.2. </w:t>
          </w:r>
          <w:r>
            <w:rPr>
              <w:rFonts w:hint="eastAsia"/>
              <w:lang w:eastAsia="zh-CN"/>
            </w:rPr>
            <w:t>关键环节能力评估</w:t>
          </w:r>
          <w:r>
            <w:tab/>
          </w:r>
          <w:r>
            <w:fldChar w:fldCharType="begin"/>
          </w:r>
          <w:r>
            <w:instrText xml:space="preserve"> PAGEREF _Toc18386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E294D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"_Toc16662" </w:instrText>
          </w:r>
          <w:r>
            <w:fldChar w:fldCharType="separate"/>
          </w:r>
          <w:r>
            <w:rPr>
              <w:lang w:eastAsia="zh-CN"/>
            </w:rPr>
            <w:t xml:space="preserve">6. </w:t>
          </w:r>
          <w:r>
            <w:rPr>
              <w:rFonts w:hint="eastAsia"/>
              <w:lang w:eastAsia="zh-CN"/>
            </w:rPr>
            <w:t>问题与改进</w:t>
          </w:r>
          <w:r>
            <w:tab/>
          </w:r>
          <w:r>
            <w:fldChar w:fldCharType="begin"/>
          </w:r>
          <w:r>
            <w:instrText xml:space="preserve"> PAGEREF _Toc16662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0E23FA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70284ADC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0E930DCE">
      <w:pPr>
        <w:pStyle w:val="28"/>
        <w:rPr>
          <w:lang w:eastAsia="zh-CN"/>
        </w:rPr>
      </w:pPr>
      <w:bookmarkStart w:id="4" w:name="_Toc12930"/>
      <w:r>
        <w:rPr>
          <w:lang w:eastAsia="zh-CN"/>
        </w:rPr>
        <w:t>摘要</w:t>
      </w:r>
      <w:bookmarkEnd w:id="4"/>
    </w:p>
    <w:p w14:paraId="4F310DA2">
      <w:pPr>
        <w:pStyle w:val="29"/>
        <w:ind w:firstLine="48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演练于2025年12月15日按计划成功实施。演练模拟了ERP系统数据库服务中断的突发事件，全面检验了《项目应急预案》的可行性及各应急小组的协同作战能力。总体来看，演练组织有序、响应迅速、处置有效，基本达到了"检验预案、磨合机制、锻炼队伍、完善准备"的预设目标。演练同时暴露了监控策略、交接流程等方面存在的3项具体问题，并提出相应改进建议。本报告建议批准所述改进项，并据此对应急预案进行针对性修订。</w:t>
      </w:r>
    </w:p>
    <w:p w14:paraId="621BBE64">
      <w:pPr>
        <w:pStyle w:val="28"/>
        <w:rPr>
          <w:lang w:eastAsia="zh-CN"/>
        </w:rPr>
      </w:pPr>
      <w:bookmarkStart w:id="5" w:name="_Toc32330"/>
      <w:r>
        <w:rPr>
          <w:lang w:eastAsia="zh-CN"/>
        </w:rPr>
        <w:t>演练概况</w:t>
      </w:r>
      <w:bookmarkEnd w:id="5"/>
    </w:p>
    <w:p w14:paraId="0D956315">
      <w:pPr>
        <w:pStyle w:val="29"/>
        <w:ind w:firstLine="48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演练名称：ERP系统故障应急演练</w:t>
      </w:r>
    </w:p>
    <w:p w14:paraId="3C6715C8">
      <w:pPr>
        <w:pStyle w:val="29"/>
        <w:ind w:firstLine="480"/>
      </w:pPr>
      <w:r>
        <w:t>演练时间：2025年</w:t>
      </w:r>
      <w:r>
        <w:rPr>
          <w:rFonts w:hint="eastAsia"/>
        </w:rPr>
        <w:t>12</w:t>
      </w:r>
      <w:r>
        <w:t>月15日 14:00 - 16:30</w:t>
      </w:r>
    </w:p>
    <w:p w14:paraId="33A99D45">
      <w:pPr>
        <w:pStyle w:val="29"/>
        <w:ind w:firstLine="480"/>
      </w:pPr>
      <w:r>
        <w:t>演练地点：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陕西华龙制药有限公司机房及办公区</w:t>
      </w:r>
    </w:p>
    <w:p w14:paraId="4843FFEC">
      <w:pPr>
        <w:pStyle w:val="29"/>
        <w:ind w:firstLine="480"/>
      </w:pPr>
      <w:r>
        <w:t>演练形式：实战综合演练（结合现场模拟与桌面推演）</w:t>
      </w:r>
    </w:p>
    <w:p w14:paraId="77EBF6EF">
      <w:pPr>
        <w:pStyle w:val="29"/>
        <w:ind w:firstLine="480"/>
      </w:pPr>
      <w:r>
        <w:t>演练级别：项目级（II级响应）</w:t>
      </w:r>
    </w:p>
    <w:p w14:paraId="255527CB">
      <w:pPr>
        <w:pStyle w:val="29"/>
        <w:ind w:firstLine="480"/>
      </w:pPr>
      <w:r>
        <w:t>参演人员：共计22人，来自应急管理办公室、勘察测绘院（交付部、研发部）、综合部及甲方代表。</w:t>
      </w:r>
    </w:p>
    <w:p w14:paraId="6D44A944">
      <w:pPr>
        <w:pStyle w:val="29"/>
        <w:ind w:firstLine="480"/>
      </w:pPr>
      <w:r>
        <w:t>模拟场景：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ERP系统数据库服务突然中断，应用无法访问</w:t>
      </w:r>
      <w:r>
        <w:t>。</w:t>
      </w:r>
    </w:p>
    <w:p w14:paraId="184D78A2">
      <w:pPr>
        <w:pStyle w:val="28"/>
        <w:rPr>
          <w:lang w:eastAsia="zh-CN"/>
        </w:rPr>
      </w:pPr>
      <w:bookmarkStart w:id="6" w:name="_Toc29542"/>
      <w:r>
        <w:rPr>
          <w:lang w:eastAsia="zh-CN"/>
        </w:rPr>
        <w:t>编制依据</w:t>
      </w:r>
      <w:bookmarkEnd w:id="6"/>
    </w:p>
    <w:p w14:paraId="2AD60D34">
      <w:pPr>
        <w:pStyle w:val="29"/>
        <w:ind w:firstLine="480"/>
      </w:pPr>
      <w:r>
        <w:t>《陕西华龙制药有限公司SPS产品支持服务项目-应急预案》</w:t>
      </w:r>
    </w:p>
    <w:p w14:paraId="27430971">
      <w:pPr>
        <w:pStyle w:val="29"/>
        <w:ind w:firstLine="480"/>
      </w:pPr>
      <w:r>
        <w:t>《陕西华龙制药有限公司SPS产品支持服务项目-应急演练实施方案》</w:t>
      </w:r>
    </w:p>
    <w:p w14:paraId="04D9FB57">
      <w:pPr>
        <w:pStyle w:val="29"/>
        <w:ind w:firstLine="480"/>
      </w:pPr>
      <w:r>
        <w:t>《陕西华龙制药有限公司SPS产品支持服务项目-应急实施计划》</w:t>
      </w:r>
    </w:p>
    <w:p w14:paraId="683F42F4">
      <w:pPr>
        <w:pStyle w:val="29"/>
        <w:ind w:firstLine="480"/>
      </w:pPr>
      <w:r>
        <w:t>《陕西华龙制药有限公司SPS产品支持服务项目-应急演练记录》</w:t>
      </w:r>
    </w:p>
    <w:p w14:paraId="5203D97A">
      <w:pPr>
        <w:pStyle w:val="28"/>
        <w:rPr>
          <w:lang w:eastAsia="zh-CN"/>
        </w:rPr>
      </w:pPr>
      <w:bookmarkStart w:id="7" w:name="_Toc29226"/>
      <w:r>
        <w:rPr>
          <w:lang w:eastAsia="zh-CN"/>
        </w:rPr>
        <w:t>演练实施情况回顾</w:t>
      </w:r>
      <w:bookmarkEnd w:id="7"/>
    </w:p>
    <w:p w14:paraId="5CC968C6">
      <w:pPr>
        <w:pStyle w:val="29"/>
        <w:ind w:firstLine="480"/>
      </w:pPr>
      <w:r>
        <w:t>演练严格遵循《应急实施计划》设定的流程展开，共分为六个阶段：</w:t>
      </w:r>
    </w:p>
    <w:p w14:paraId="553A808F">
      <w:pPr>
        <w:pStyle w:val="29"/>
        <w:ind w:firstLine="480"/>
        <w:rPr>
          <w:rFonts w:hint="eastAsia"/>
        </w:rPr>
      </w:pPr>
      <w:r>
        <w:rPr>
          <w:rFonts w:hint="eastAsia"/>
        </w:rPr>
        <w:t>初始化与事件触发：各小组准时就位，数据库故障模拟脚本触发准确。</w:t>
      </w:r>
    </w:p>
    <w:p w14:paraId="22726626">
      <w:pPr>
        <w:pStyle w:val="29"/>
        <w:ind w:firstLine="480"/>
        <w:rPr>
          <w:rFonts w:hint="eastAsia"/>
        </w:rPr>
      </w:pPr>
      <w:r>
        <w:rPr>
          <w:rFonts w:hint="eastAsia"/>
        </w:rPr>
        <w:t>信息报告与应急启动：现场至指挥部的信息报告链路通畅，用时约5分钟，符合预案小于30分钟的要求；总指挥决策果断，II级响应启动正确。</w:t>
      </w:r>
    </w:p>
    <w:p w14:paraId="5AE3312D">
      <w:pPr>
        <w:pStyle w:val="29"/>
        <w:ind w:firstLine="480"/>
        <w:rPr>
          <w:rFonts w:hint="eastAsia"/>
        </w:rPr>
      </w:pPr>
      <w:r>
        <w:rPr>
          <w:rFonts w:hint="eastAsia"/>
        </w:rPr>
        <w:t>先期处置：现场组迅速完成机房环境检查、业务部门通报等步骤，流程规范；后勤组建立应急通讯群组，信息同步及时。</w:t>
      </w:r>
    </w:p>
    <w:p w14:paraId="61E68A6E">
      <w:pPr>
        <w:pStyle w:val="29"/>
        <w:ind w:firstLine="480"/>
        <w:rPr>
          <w:rFonts w:hint="eastAsia"/>
        </w:rPr>
      </w:pPr>
      <w:r>
        <w:rPr>
          <w:rFonts w:hint="eastAsia"/>
        </w:rPr>
        <w:t>技术研判与协同处置：技术组诊断准确（磁盘空间满导致数据库停止），恢复方案有效（空间清理、服务重启、数据验证），团队协作顺畅。</w:t>
      </w:r>
    </w:p>
    <w:p w14:paraId="3FAD345E">
      <w:pPr>
        <w:pStyle w:val="29"/>
        <w:ind w:firstLine="480"/>
        <w:rPr>
          <w:rFonts w:hint="eastAsia"/>
        </w:rPr>
      </w:pPr>
      <w:r>
        <w:rPr>
          <w:rFonts w:hint="eastAsia"/>
        </w:rPr>
        <w:t>恢复与终止：系统恢复验证报告全面，业务验证通过，现场清理及时，响应终止指令清晰。</w:t>
      </w:r>
    </w:p>
    <w:p w14:paraId="3696956B">
      <w:pPr>
        <w:pStyle w:val="29"/>
        <w:ind w:firstLine="480"/>
      </w:pPr>
      <w:r>
        <w:rPr>
          <w:rFonts w:hint="eastAsia"/>
        </w:rPr>
        <w:t>总结点评：各小组进行了客观自评，总指挥与甲方代表进行了总结点评。</w:t>
      </w:r>
    </w:p>
    <w:p w14:paraId="491F977A">
      <w:pPr>
        <w:pStyle w:val="28"/>
        <w:rPr>
          <w:lang w:eastAsia="zh-CN"/>
        </w:rPr>
      </w:pPr>
      <w:bookmarkStart w:id="8" w:name="_Toc25928"/>
      <w:r>
        <w:rPr>
          <w:rFonts w:hint="eastAsia"/>
          <w:lang w:eastAsia="zh-CN"/>
        </w:rPr>
        <w:t>演练评估与分析</w:t>
      </w:r>
      <w:bookmarkEnd w:id="8"/>
    </w:p>
    <w:p w14:paraId="49D8FC8B">
      <w:pPr>
        <w:pStyle w:val="30"/>
        <w:rPr>
          <w:lang w:eastAsia="zh-CN"/>
        </w:rPr>
      </w:pPr>
      <w:bookmarkStart w:id="9" w:name="_Toc24730"/>
      <w:r>
        <w:rPr>
          <w:rFonts w:hint="eastAsia"/>
          <w:lang w:eastAsia="zh-CN"/>
        </w:rPr>
        <w:t>目标达成情况评估</w:t>
      </w:r>
      <w:bookmarkEnd w:id="9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1332"/>
        <w:gridCol w:w="6635"/>
      </w:tblGrid>
      <w:tr w14:paraId="68683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4C5BB7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预设目标</w:t>
            </w:r>
          </w:p>
        </w:tc>
        <w:tc>
          <w:tcPr>
            <w:tcW w:w="133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EF16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评估结果</w:t>
            </w:r>
          </w:p>
        </w:tc>
        <w:tc>
          <w:tcPr>
            <w:tcW w:w="663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E8EE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说明</w:t>
            </w:r>
          </w:p>
        </w:tc>
      </w:tr>
      <w:tr w14:paraId="20E42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03522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检验预案</w:t>
            </w:r>
          </w:p>
        </w:tc>
        <w:tc>
          <w:tcPr>
            <w:tcW w:w="133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93E3F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基本达成</w:t>
            </w:r>
          </w:p>
        </w:tc>
        <w:tc>
          <w:tcPr>
            <w:tcW w:w="663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D5B26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预案中的组织架构、响应流程、职责分工在演练中得到有效执行，证明其主体框架科学、可行。</w:t>
            </w:r>
          </w:p>
        </w:tc>
      </w:tr>
      <w:tr w14:paraId="06E3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12DC2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磨合机制</w:t>
            </w:r>
          </w:p>
        </w:tc>
        <w:tc>
          <w:tcPr>
            <w:tcW w:w="133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55F0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良好达成</w:t>
            </w:r>
          </w:p>
        </w:tc>
        <w:tc>
          <w:tcPr>
            <w:tcW w:w="663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1F9ED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各应急小组之间，以及与公司交付部、采购部等常设部门的“平战结合”联动机制运作顺畅，沟通高效。</w:t>
            </w:r>
          </w:p>
        </w:tc>
      </w:tr>
      <w:tr w14:paraId="4F935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90123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锻炼队伍</w:t>
            </w:r>
          </w:p>
        </w:tc>
        <w:tc>
          <w:tcPr>
            <w:tcW w:w="133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A750F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良好达成</w:t>
            </w:r>
          </w:p>
        </w:tc>
        <w:tc>
          <w:tcPr>
            <w:tcW w:w="663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764B9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参演人员应急意识显著增强，对报告流程、处置措施、自身职责的熟悉度大幅提升，技术队伍实操能力得到验证。</w:t>
            </w:r>
          </w:p>
        </w:tc>
      </w:tr>
      <w:tr w14:paraId="4925B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DE4F0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完善准备</w:t>
            </w:r>
          </w:p>
        </w:tc>
        <w:tc>
          <w:tcPr>
            <w:tcW w:w="133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7DFA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部分达成</w:t>
            </w:r>
          </w:p>
        </w:tc>
        <w:tc>
          <w:tcPr>
            <w:tcW w:w="663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7323B7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通讯、物资等常规保障充分，但暴露出特定技术装备（熔接机）的应急准备存在优化空间。</w:t>
            </w:r>
          </w:p>
        </w:tc>
      </w:tr>
    </w:tbl>
    <w:p w14:paraId="3BD57DFB">
      <w:pPr>
        <w:pStyle w:val="30"/>
        <w:rPr>
          <w:lang w:eastAsia="zh-CN"/>
        </w:rPr>
      </w:pPr>
      <w:bookmarkStart w:id="10" w:name="_Toc18386"/>
      <w:r>
        <w:rPr>
          <w:rFonts w:hint="eastAsia"/>
          <w:lang w:eastAsia="zh-CN"/>
        </w:rPr>
        <w:t>关键环节能力评估</w:t>
      </w:r>
      <w:bookmarkEnd w:id="10"/>
    </w:p>
    <w:p w14:paraId="530771B0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信息流转效率：优秀。从事件发生到核心决策层知晓，用时远低于预案要求，报告内容完整、格式规范。</w:t>
      </w:r>
    </w:p>
    <w:p w14:paraId="53336878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指挥决策效能：优秀。指挥层级清晰，决策点明确，响应级别判定准确。</w:t>
      </w:r>
    </w:p>
    <w:p w14:paraId="466E6658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现场处置规范性：良好。先期处置步骤完整，注重信息同步和业务部门沟通，符合应急预案要求。</w:t>
      </w:r>
    </w:p>
    <w:p w14:paraId="1305C3D0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技术支撑能力：优秀。故障定位准确（磁盘空间问题），方案制定合理，恢复操作规范，数据验证完整，体现了扎实的技术能力。</w:t>
      </w:r>
    </w:p>
    <w:p w14:paraId="538A54E4">
      <w:pPr>
        <w:pStyle w:val="29"/>
        <w:rPr>
          <w:lang w:eastAsia="zh-CN"/>
        </w:rPr>
      </w:pPr>
      <w:r>
        <w:rPr>
          <w:rFonts w:hint="eastAsia"/>
          <w:lang w:eastAsia="zh-CN"/>
        </w:rPr>
        <w:t>后勤与协同保障：良好。通讯保障到位，跨部门协作请求能够得到及时响应。</w:t>
      </w:r>
    </w:p>
    <w:p w14:paraId="2221A7E5">
      <w:pPr>
        <w:pStyle w:val="28"/>
        <w:rPr>
          <w:lang w:eastAsia="zh-CN"/>
        </w:rPr>
      </w:pPr>
      <w:bookmarkStart w:id="11" w:name="_Toc16662"/>
      <w:r>
        <w:rPr>
          <w:rFonts w:hint="eastAsia"/>
          <w:lang w:eastAsia="zh-CN"/>
        </w:rPr>
        <w:t>问题与改进</w:t>
      </w:r>
      <w:bookmarkEnd w:id="11"/>
    </w:p>
    <w:tbl>
      <w:tblPr>
        <w:tblW w:w="935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2030"/>
        <w:gridCol w:w="1590"/>
        <w:gridCol w:w="2690"/>
        <w:gridCol w:w="810"/>
        <w:gridCol w:w="1640"/>
      </w:tblGrid>
      <w:tr w14:paraId="3AEE1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0A2D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0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3E4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15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8F1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根源分析</w:t>
            </w:r>
          </w:p>
        </w:tc>
        <w:tc>
          <w:tcPr>
            <w:tcW w:w="26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BCE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改进建议</w:t>
            </w:r>
          </w:p>
        </w:tc>
        <w:tc>
          <w:tcPr>
            <w:tcW w:w="8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972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责任部门</w:t>
            </w:r>
          </w:p>
        </w:tc>
        <w:tc>
          <w:tcPr>
            <w:tcW w:w="16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5DE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建议完成时限</w:t>
            </w:r>
          </w:p>
        </w:tc>
      </w:tr>
      <w:tr w14:paraId="3A921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B147F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644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数据库空间监控阈值设置偏高，预警后响应时间不足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6D6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当前监控阈值为95%，留给应急处置的时间窗口过短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51A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将磁盘空间使用率告警阈值调整为85%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增加空间增长趋势分析，提前预测风险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建立定期清理临时文件的运维制度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083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交付部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0ABCB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2026年1月31日</w:t>
            </w:r>
          </w:p>
        </w:tc>
      </w:tr>
      <w:tr w14:paraId="4580D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287B4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FA0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故障现场交接流程不够规范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D01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预案中未明确现场交接的标准化流程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E5B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制定《故障现场交接单》，明确故障现象、已采取措施、注意事项等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B55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应急管理办公室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EF5AE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2026年1月15日</w:t>
            </w:r>
          </w:p>
        </w:tc>
      </w:tr>
      <w:tr w14:paraId="64DEE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ED54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F2B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业务部门联系人信息更新不及时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5C6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应急联系人清单未定期维护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EB1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建立业务部门应急联系人清单，每季度更新一次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21A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6FE81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2026年1月31日</w:t>
            </w:r>
          </w:p>
        </w:tc>
      </w:tr>
    </w:tbl>
    <w:p w14:paraId="45C64142">
      <w:pPr>
        <w:pStyle w:val="29"/>
        <w:ind w:firstLine="48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7238B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5A307B"/>
    <w:rsid w:val="03FA3A80"/>
    <w:rsid w:val="0B27418B"/>
    <w:rsid w:val="0D782E5E"/>
    <w:rsid w:val="0F5C6896"/>
    <w:rsid w:val="161D68B6"/>
    <w:rsid w:val="16F413C5"/>
    <w:rsid w:val="1AE41750"/>
    <w:rsid w:val="1B124510"/>
    <w:rsid w:val="1C085913"/>
    <w:rsid w:val="1DA653E3"/>
    <w:rsid w:val="1E7B061E"/>
    <w:rsid w:val="24150BCD"/>
    <w:rsid w:val="258778A8"/>
    <w:rsid w:val="2C3A38C6"/>
    <w:rsid w:val="37A23FE5"/>
    <w:rsid w:val="38AC78FA"/>
    <w:rsid w:val="41255B3E"/>
    <w:rsid w:val="48926369"/>
    <w:rsid w:val="4B475260"/>
    <w:rsid w:val="5B2B48FF"/>
    <w:rsid w:val="6BD1361D"/>
    <w:rsid w:val="79501600"/>
    <w:rsid w:val="7B1A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1879</Words>
  <Characters>1993</Characters>
  <Lines>156</Lines>
  <Paragraphs>137</Paragraphs>
  <TotalTime>1</TotalTime>
  <ScaleCrop>false</ScaleCrop>
  <LinksUpToDate>false</LinksUpToDate>
  <CharactersWithSpaces>2036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2026-03-10T20:24:52Z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