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22BBF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2-07</w:t>
      </w:r>
    </w:p>
    <w:p w14:paraId="10F543DB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4098D3FE">
      <w:pPr>
        <w:pStyle w:val="24"/>
        <w:widowControl w:val="0"/>
        <w:spacing w:after="1872"/>
        <w:rPr>
          <w:lang w:eastAsia="zh-CN"/>
        </w:rPr>
      </w:pPr>
      <w:bookmarkStart w:id="0" w:name="_Toc20834"/>
      <w:bookmarkStart w:id="1" w:name="_Toc5978"/>
      <w:r>
        <w:rPr>
          <w:lang w:eastAsia="zh-CN"/>
        </w:rPr>
        <w:t>陕西益利德软件科技有限公司</w:t>
      </w:r>
      <w:bookmarkEnd w:id="0"/>
      <w:bookmarkEnd w:id="1"/>
    </w:p>
    <w:p w14:paraId="12888DB0">
      <w:pPr>
        <w:pStyle w:val="25"/>
        <w:widowControl w:val="0"/>
        <w:spacing w:after="2808"/>
        <w:rPr>
          <w:rFonts w:hint="eastAsia"/>
          <w:lang w:eastAsia="zh-CN"/>
        </w:rPr>
      </w:pPr>
      <w:bookmarkStart w:id="2" w:name="_Toc20245"/>
      <w:bookmarkStart w:id="3" w:name="_Toc28846"/>
      <w:r>
        <w:rPr>
          <w:rFonts w:hint="eastAsia"/>
          <w:lang w:eastAsia="zh-CN"/>
        </w:rPr>
        <w:t>陕西华龙制药有限公司SPS产品支持服务项目-</w:t>
      </w:r>
      <w:bookmarkEnd w:id="2"/>
      <w:r>
        <w:rPr>
          <w:rFonts w:hint="eastAsia"/>
          <w:lang w:eastAsia="zh-CN"/>
        </w:rPr>
        <w:t>应急演练改进跟踪</w:t>
      </w:r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3667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72894C33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4F4B74E6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2025.12.30</w:t>
            </w:r>
          </w:p>
        </w:tc>
      </w:tr>
      <w:tr w14:paraId="612B1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10EA96B6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0B6148CA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2025.12.30</w:t>
            </w:r>
          </w:p>
        </w:tc>
      </w:tr>
      <w:tr w14:paraId="23F72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D52966A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7F9D6E9B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2025.12.30</w:t>
            </w:r>
          </w:p>
        </w:tc>
      </w:tr>
    </w:tbl>
    <w:p w14:paraId="36EF112A">
      <w:pPr>
        <w:widowControl w:val="0"/>
      </w:pPr>
      <w:r>
        <w:br w:type="page"/>
      </w:r>
    </w:p>
    <w:p w14:paraId="4ACB1604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149AE4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2A42C4D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C795B7B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6F527AE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B3FBEE7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B49001F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4C2AF377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E5B04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309B32D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919" w:type="dxa"/>
          </w:tcPr>
          <w:p w14:paraId="6682D6A5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46E4584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51862446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  <w:vAlign w:val="top"/>
          </w:tcPr>
          <w:p w14:paraId="7283C1FA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69A76C9F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4F7C48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D977CA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F7EC70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7B2633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F01D624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3FBB76E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4006835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77E2BE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ACCD75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8B09D1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07BC92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40E55EE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5681F9B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52CB3DD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1AF113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2D5A11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DB8697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916C4F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E83EAA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252D9F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7A9A9B1A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670001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FAE848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BE070D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7A2821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8287D7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5B157B3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051F6D70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37AF3C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FACA12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03E51E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AA0D2E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312EC9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0C4D15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5AC0704F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032D379E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4FDB7435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3B0A208E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</w:p>
        <w:p w14:paraId="2B49C4D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_Toc5978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28319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_Toc28846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陕西华龙制药有限公司SPS产品支持服务项目-应急演练改进跟踪</w:t>
          </w:r>
          <w:r>
            <w:tab/>
          </w:r>
          <w:r>
            <w:fldChar w:fldCharType="begin"/>
          </w:r>
          <w:r>
            <w:instrText xml:space="preserve"> PAGEREF _Toc28846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CBCF08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_Toc6906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 </w:t>
          </w:r>
          <w:r>
            <w:rPr>
              <w:rFonts w:hint="eastAsia"/>
              <w:lang w:eastAsia="zh-CN"/>
            </w:rPr>
            <w:t>问题与改进</w:t>
          </w:r>
          <w:r>
            <w:tab/>
          </w:r>
          <w:r>
            <w:fldChar w:fldCharType="begin"/>
          </w:r>
          <w:r>
            <w:instrText xml:space="preserve"> PAGEREF _Toc6906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D6618DA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75856648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4F2CC073">
      <w:pPr>
        <w:pStyle w:val="28"/>
        <w:rPr>
          <w:lang w:eastAsia="zh-CN"/>
        </w:rPr>
      </w:pPr>
      <w:bookmarkStart w:id="4" w:name="_Toc6906"/>
      <w:r>
        <w:rPr>
          <w:rFonts w:hint="eastAsia"/>
          <w:lang w:eastAsia="zh-CN"/>
        </w:rPr>
        <w:t>问题与改进</w:t>
      </w:r>
      <w:bookmarkEnd w:id="4"/>
    </w:p>
    <w:tbl>
      <w:tblPr>
        <w:tblW w:w="935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"/>
        <w:gridCol w:w="2030"/>
        <w:gridCol w:w="1590"/>
        <w:gridCol w:w="2690"/>
        <w:gridCol w:w="810"/>
        <w:gridCol w:w="1640"/>
      </w:tblGrid>
      <w:tr w14:paraId="23FC4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9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D4E19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20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55C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15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D28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根源分析</w:t>
            </w:r>
          </w:p>
        </w:tc>
        <w:tc>
          <w:tcPr>
            <w:tcW w:w="26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A04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改进建议</w:t>
            </w:r>
          </w:p>
        </w:tc>
        <w:tc>
          <w:tcPr>
            <w:tcW w:w="8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7588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责任部门</w:t>
            </w:r>
          </w:p>
        </w:tc>
        <w:tc>
          <w:tcPr>
            <w:tcW w:w="164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61A5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建议完成时限</w:t>
            </w:r>
          </w:p>
        </w:tc>
      </w:tr>
      <w:tr w14:paraId="0C658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2D1EF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9DD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数据库空间监控阈值设置偏高，预警后响应时间不足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CE9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当前监控阈值为95%，留给应急处置的时间窗口过短</w:t>
            </w: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2EE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将磁盘空间使用率告警阈值调整为85%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增加空间增长趋势分析，提前预测风险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建立定期清理临时文件的运维制度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688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交付部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13B04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2026年1月31日</w:t>
            </w:r>
          </w:p>
        </w:tc>
      </w:tr>
      <w:tr w14:paraId="315CC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71040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33F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故障现场交接流程不够规范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A2A5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预案中未明确现场交接的标准化流程</w:t>
            </w: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3440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制定《故障现场交接单》，明确故障现象、已采取措施、注意事项等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20CE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应急管理办公室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B9800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2026年1月15日</w:t>
            </w:r>
          </w:p>
        </w:tc>
      </w:tr>
      <w:tr w14:paraId="1E204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9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89AB3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0DE3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业务部门联系人信息更新不及时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90C7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应急联系人清单未定期维护</w:t>
            </w: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D1EC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建立业务部门应急联系人清单，每季度更新一次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5F0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综合部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5EE0F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2026年1月31日</w:t>
            </w:r>
          </w:p>
        </w:tc>
      </w:tr>
    </w:tbl>
    <w:p w14:paraId="5EDD4DB1">
      <w:pPr>
        <w:pStyle w:val="29"/>
        <w:ind w:firstLine="480"/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729F5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6B70E1F"/>
    <w:rsid w:val="1AD33AC1"/>
    <w:rsid w:val="2C570E1C"/>
    <w:rsid w:val="2D360531"/>
    <w:rsid w:val="2E1819E5"/>
    <w:rsid w:val="424B1F31"/>
    <w:rsid w:val="46DC3AA0"/>
    <w:rsid w:val="4EAF55F6"/>
    <w:rsid w:val="5A7F67C4"/>
    <w:rsid w:val="696E0130"/>
    <w:rsid w:val="6B3E3B32"/>
    <w:rsid w:val="74DF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620</Words>
  <Characters>703</Characters>
  <Lines>80</Lines>
  <Paragraphs>70</Paragraphs>
  <TotalTime>2</TotalTime>
  <ScaleCrop>false</ScaleCrop>
  <LinksUpToDate>false</LinksUpToDate>
  <CharactersWithSpaces>743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2026-03-10T20:25:07Z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