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E802C8">
      <w:pPr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3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2-00</w:t>
      </w:r>
    </w:p>
    <w:p w14:paraId="38D210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6E9E7F1E">
      <w:pPr>
        <w:pStyle w:val="24"/>
        <w:bidi w:val="0"/>
      </w:pPr>
      <w:bookmarkStart w:id="0" w:name="_Toc25828"/>
      <w:r>
        <w:rPr>
          <w:rFonts w:hint="eastAsia"/>
          <w:lang w:val="en-US" w:eastAsia="zh-CN"/>
        </w:rPr>
        <w:t>陕西益利德软件科技有限公司</w:t>
      </w:r>
      <w:bookmarkEnd w:id="0"/>
    </w:p>
    <w:p w14:paraId="00CB83C3">
      <w:pPr>
        <w:pStyle w:val="25"/>
        <w:bidi w:val="0"/>
        <w:rPr>
          <w:rFonts w:hint="default"/>
          <w:lang w:val="en-US"/>
        </w:rPr>
      </w:pPr>
      <w:bookmarkStart w:id="1" w:name="_Toc6795"/>
      <w:r>
        <w:rPr>
          <w:rFonts w:hint="eastAsia"/>
          <w:lang w:val="en-US" w:eastAsia="zh-CN"/>
        </w:rPr>
        <w:t>运维服务能力指标体系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7D997A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1E1596E3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赵聪</w:t>
            </w:r>
          </w:p>
        </w:tc>
        <w:tc>
          <w:tcPr>
            <w:tcW w:w="4261" w:type="dxa"/>
          </w:tcPr>
          <w:p w14:paraId="2983A863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2FAA49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638EBA40">
            <w:pPr>
              <w:widowControl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05"/>
                <w:kern w:val="0"/>
                <w:u w:val="single"/>
                <w:vertAlign w:val="baseline"/>
                <w:lang w:val="en-US" w:eastAsia="zh-CN"/>
              </w:rPr>
              <w:t>严长运</w:t>
            </w:r>
          </w:p>
        </w:tc>
        <w:tc>
          <w:tcPr>
            <w:tcW w:w="4261" w:type="dxa"/>
            <w:shd w:val="clear" w:color="auto" w:fill="auto"/>
          </w:tcPr>
          <w:p w14:paraId="656C687E">
            <w:pPr>
              <w:widowControl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03FDDB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437B4405">
            <w:pPr>
              <w:widowControl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鲁玉锋</w:t>
            </w:r>
          </w:p>
        </w:tc>
        <w:tc>
          <w:tcPr>
            <w:tcW w:w="4261" w:type="dxa"/>
          </w:tcPr>
          <w:p w14:paraId="5CC9228A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 w14:paraId="4A1718FA">
      <w:r>
        <w:br w:type="page"/>
      </w:r>
    </w:p>
    <w:p w14:paraId="786D6A83">
      <w:pPr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3161A5C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514B78B8">
            <w:pPr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25C43259">
            <w:pPr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4FA500A1">
            <w:pPr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785F6B1F">
            <w:pPr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0A382122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46587433">
            <w:pPr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6CAC92B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6B79D28">
            <w:pPr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25D0C770">
            <w:pPr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0CB44C66">
            <w:pPr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11C85C61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pacing w:val="0"/>
                <w:kern w:val="0"/>
                <w:u w:val="none"/>
                <w:vertAlign w:val="baseline"/>
                <w:lang w:val="en-US" w:eastAsia="zh-CN"/>
              </w:rPr>
              <w:t>赵聪</w:t>
            </w:r>
          </w:p>
        </w:tc>
        <w:tc>
          <w:tcPr>
            <w:tcW w:w="1150" w:type="dxa"/>
          </w:tcPr>
          <w:p w14:paraId="36504B8D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5"/>
                <w:sz w:val="20"/>
                <w:szCs w:val="20"/>
                <w:lang w:val="en-US" w:eastAsia="zh-CN"/>
              </w:rPr>
              <w:t>严长运</w:t>
            </w:r>
          </w:p>
        </w:tc>
        <w:tc>
          <w:tcPr>
            <w:tcW w:w="1240" w:type="dxa"/>
          </w:tcPr>
          <w:p w14:paraId="4184FCBD">
            <w:pPr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鲁玉锋</w:t>
            </w:r>
          </w:p>
        </w:tc>
      </w:tr>
      <w:tr w14:paraId="0D03971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57D4C70">
            <w:pPr>
              <w:pStyle w:val="27"/>
            </w:pPr>
          </w:p>
        </w:tc>
        <w:tc>
          <w:tcPr>
            <w:tcW w:w="919" w:type="dxa"/>
          </w:tcPr>
          <w:p w14:paraId="017B37F8">
            <w:pPr>
              <w:pStyle w:val="27"/>
            </w:pPr>
          </w:p>
        </w:tc>
        <w:tc>
          <w:tcPr>
            <w:tcW w:w="2289" w:type="dxa"/>
          </w:tcPr>
          <w:p w14:paraId="4EC814D5">
            <w:pPr>
              <w:pStyle w:val="27"/>
            </w:pPr>
          </w:p>
        </w:tc>
        <w:tc>
          <w:tcPr>
            <w:tcW w:w="1148" w:type="dxa"/>
          </w:tcPr>
          <w:p w14:paraId="15F72D80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54200F16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5C3BEDB4">
            <w:pPr>
              <w:pStyle w:val="27"/>
            </w:pPr>
          </w:p>
        </w:tc>
      </w:tr>
      <w:tr w14:paraId="728649D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49A76D9">
            <w:pPr>
              <w:pStyle w:val="27"/>
            </w:pPr>
          </w:p>
        </w:tc>
        <w:tc>
          <w:tcPr>
            <w:tcW w:w="919" w:type="dxa"/>
          </w:tcPr>
          <w:p w14:paraId="29075713">
            <w:pPr>
              <w:pStyle w:val="27"/>
            </w:pPr>
          </w:p>
        </w:tc>
        <w:tc>
          <w:tcPr>
            <w:tcW w:w="2289" w:type="dxa"/>
          </w:tcPr>
          <w:p w14:paraId="3177F98B">
            <w:pPr>
              <w:pStyle w:val="27"/>
            </w:pPr>
          </w:p>
        </w:tc>
        <w:tc>
          <w:tcPr>
            <w:tcW w:w="1148" w:type="dxa"/>
          </w:tcPr>
          <w:p w14:paraId="0DE1DCB9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1E083538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5AD7DE06">
            <w:pPr>
              <w:pStyle w:val="27"/>
            </w:pPr>
          </w:p>
        </w:tc>
      </w:tr>
      <w:tr w14:paraId="0E08557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07440F28">
            <w:pPr>
              <w:pStyle w:val="27"/>
            </w:pPr>
          </w:p>
        </w:tc>
        <w:tc>
          <w:tcPr>
            <w:tcW w:w="919" w:type="dxa"/>
          </w:tcPr>
          <w:p w14:paraId="72290F00">
            <w:pPr>
              <w:pStyle w:val="27"/>
            </w:pPr>
          </w:p>
        </w:tc>
        <w:tc>
          <w:tcPr>
            <w:tcW w:w="2289" w:type="dxa"/>
          </w:tcPr>
          <w:p w14:paraId="026FDE46">
            <w:pPr>
              <w:pStyle w:val="27"/>
            </w:pPr>
          </w:p>
        </w:tc>
        <w:tc>
          <w:tcPr>
            <w:tcW w:w="1148" w:type="dxa"/>
          </w:tcPr>
          <w:p w14:paraId="4CDFEDAA">
            <w:pPr>
              <w:pStyle w:val="27"/>
            </w:pPr>
          </w:p>
        </w:tc>
        <w:tc>
          <w:tcPr>
            <w:tcW w:w="1150" w:type="dxa"/>
          </w:tcPr>
          <w:p w14:paraId="2BE0DE61">
            <w:pPr>
              <w:pStyle w:val="27"/>
            </w:pPr>
          </w:p>
        </w:tc>
        <w:tc>
          <w:tcPr>
            <w:tcW w:w="1240" w:type="dxa"/>
          </w:tcPr>
          <w:p w14:paraId="1EDAE5B0">
            <w:pPr>
              <w:pStyle w:val="27"/>
            </w:pPr>
          </w:p>
        </w:tc>
      </w:tr>
      <w:tr w14:paraId="1CF6227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1221876F">
            <w:pPr>
              <w:pStyle w:val="27"/>
            </w:pPr>
          </w:p>
        </w:tc>
        <w:tc>
          <w:tcPr>
            <w:tcW w:w="919" w:type="dxa"/>
          </w:tcPr>
          <w:p w14:paraId="5CCEC695">
            <w:pPr>
              <w:pStyle w:val="27"/>
            </w:pPr>
          </w:p>
        </w:tc>
        <w:tc>
          <w:tcPr>
            <w:tcW w:w="2289" w:type="dxa"/>
          </w:tcPr>
          <w:p w14:paraId="362CF5C2">
            <w:pPr>
              <w:pStyle w:val="27"/>
            </w:pPr>
          </w:p>
        </w:tc>
        <w:tc>
          <w:tcPr>
            <w:tcW w:w="1148" w:type="dxa"/>
          </w:tcPr>
          <w:p w14:paraId="1056E2BD">
            <w:pPr>
              <w:pStyle w:val="27"/>
            </w:pPr>
          </w:p>
        </w:tc>
        <w:tc>
          <w:tcPr>
            <w:tcW w:w="1150" w:type="dxa"/>
          </w:tcPr>
          <w:p w14:paraId="3F546507">
            <w:pPr>
              <w:pStyle w:val="27"/>
            </w:pPr>
          </w:p>
        </w:tc>
        <w:tc>
          <w:tcPr>
            <w:tcW w:w="1240" w:type="dxa"/>
          </w:tcPr>
          <w:p w14:paraId="41A86A46">
            <w:pPr>
              <w:pStyle w:val="27"/>
            </w:pPr>
          </w:p>
        </w:tc>
      </w:tr>
      <w:tr w14:paraId="7CED475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445FD90F">
            <w:pPr>
              <w:pStyle w:val="27"/>
            </w:pPr>
          </w:p>
        </w:tc>
        <w:tc>
          <w:tcPr>
            <w:tcW w:w="919" w:type="dxa"/>
          </w:tcPr>
          <w:p w14:paraId="5FB277B3">
            <w:pPr>
              <w:pStyle w:val="27"/>
            </w:pPr>
          </w:p>
        </w:tc>
        <w:tc>
          <w:tcPr>
            <w:tcW w:w="2289" w:type="dxa"/>
          </w:tcPr>
          <w:p w14:paraId="1AD2BD4D">
            <w:pPr>
              <w:pStyle w:val="27"/>
            </w:pPr>
          </w:p>
        </w:tc>
        <w:tc>
          <w:tcPr>
            <w:tcW w:w="1148" w:type="dxa"/>
          </w:tcPr>
          <w:p w14:paraId="64A2E250">
            <w:pPr>
              <w:pStyle w:val="27"/>
            </w:pPr>
          </w:p>
        </w:tc>
        <w:tc>
          <w:tcPr>
            <w:tcW w:w="1150" w:type="dxa"/>
          </w:tcPr>
          <w:p w14:paraId="01BE93DD">
            <w:pPr>
              <w:pStyle w:val="27"/>
            </w:pPr>
          </w:p>
        </w:tc>
        <w:tc>
          <w:tcPr>
            <w:tcW w:w="1240" w:type="dxa"/>
          </w:tcPr>
          <w:p w14:paraId="639F55B1">
            <w:pPr>
              <w:pStyle w:val="27"/>
            </w:pPr>
          </w:p>
        </w:tc>
      </w:tr>
    </w:tbl>
    <w:p w14:paraId="00DADEB2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1D5F0CE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3F0795C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_Toc25828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陕西益利德软件科技有限公司</w:t>
          </w:r>
          <w:r>
            <w:tab/>
          </w:r>
          <w:r>
            <w:fldChar w:fldCharType="begin"/>
          </w:r>
          <w:r>
            <w:instrText xml:space="preserve"> PAGEREF _Toc25828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C473B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_Toc6795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运维服务能力指标体系</w:t>
          </w:r>
          <w:r>
            <w:tab/>
          </w:r>
          <w:r>
            <w:fldChar w:fldCharType="begin"/>
          </w:r>
          <w:r>
            <w:instrText xml:space="preserve"> PAGEREF _Toc6795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38A16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_Toc22000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运维服务能力指标体系</w:t>
          </w:r>
          <w:r>
            <w:tab/>
          </w:r>
          <w:r>
            <w:fldChar w:fldCharType="begin"/>
          </w:r>
          <w:r>
            <w:instrText xml:space="preserve"> PAGEREF _Toc22000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614343">
          <w:pPr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27B611DB">
      <w:pPr>
        <w:rPr>
          <w:rFonts w:hint="eastAsia" w:ascii="Arial" w:hAnsi="Arial" w:eastAsia="Arial" w:cs="Arial"/>
          <w:snapToGrid w:val="0"/>
          <w:color w:val="000000"/>
          <w:kern w:val="0"/>
          <w:sz w:val="21"/>
          <w:szCs w:val="21"/>
          <w:lang w:val="en-US" w:eastAsia="zh-CN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1C583110">
      <w:pPr>
        <w:pStyle w:val="28"/>
        <w:bidi w:val="0"/>
        <w:rPr>
          <w:rFonts w:hint="eastAsia"/>
          <w:lang w:val="en-US" w:eastAsia="zh-CN"/>
        </w:rPr>
      </w:pPr>
      <w:bookmarkStart w:id="2" w:name="_Toc22000"/>
      <w:r>
        <w:rPr>
          <w:rFonts w:hint="eastAsia"/>
          <w:lang w:val="en-US" w:eastAsia="zh-CN"/>
        </w:rPr>
        <w:t>运维服务能力指标体系</w:t>
      </w:r>
      <w:bookmarkEnd w:id="2"/>
    </w:p>
    <w:p w14:paraId="76BA4BC9">
      <w:pPr>
        <w:pStyle w:val="29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运维服务能力体系表</w:t>
      </w:r>
    </w:p>
    <w:tbl>
      <w:tblPr>
        <w:tblStyle w:val="26"/>
        <w:tblW w:w="9604" w:type="dxa"/>
        <w:tblInd w:w="6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4"/>
        <w:gridCol w:w="1147"/>
        <w:gridCol w:w="2028"/>
        <w:gridCol w:w="818"/>
        <w:gridCol w:w="3468"/>
        <w:gridCol w:w="609"/>
        <w:gridCol w:w="1070"/>
      </w:tblGrid>
      <w:tr w14:paraId="4CCE7F7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Align w:val="center"/>
          </w:tcPr>
          <w:p w14:paraId="204F46C4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大类</w:t>
            </w:r>
          </w:p>
        </w:tc>
        <w:tc>
          <w:tcPr>
            <w:tcW w:w="1147" w:type="dxa"/>
            <w:vAlign w:val="center"/>
          </w:tcPr>
          <w:p w14:paraId="75AD6ACA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指标类别</w:t>
            </w:r>
          </w:p>
        </w:tc>
        <w:tc>
          <w:tcPr>
            <w:tcW w:w="2028" w:type="dxa"/>
            <w:vAlign w:val="center"/>
          </w:tcPr>
          <w:p w14:paraId="2C6C7ED3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指标度量项</w:t>
            </w:r>
          </w:p>
        </w:tc>
        <w:tc>
          <w:tcPr>
            <w:tcW w:w="818" w:type="dxa"/>
            <w:vAlign w:val="center"/>
          </w:tcPr>
          <w:p w14:paraId="061D637C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指标要求</w:t>
            </w:r>
          </w:p>
        </w:tc>
        <w:tc>
          <w:tcPr>
            <w:tcW w:w="3468" w:type="dxa"/>
            <w:vAlign w:val="center"/>
          </w:tcPr>
          <w:p w14:paraId="0FA6DFC9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计算公式</w:t>
            </w:r>
          </w:p>
        </w:tc>
        <w:tc>
          <w:tcPr>
            <w:tcW w:w="609" w:type="dxa"/>
            <w:vAlign w:val="center"/>
          </w:tcPr>
          <w:p w14:paraId="202CDBFC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频率</w:t>
            </w:r>
          </w:p>
        </w:tc>
        <w:tc>
          <w:tcPr>
            <w:tcW w:w="1070" w:type="dxa"/>
            <w:vAlign w:val="center"/>
          </w:tcPr>
          <w:p w14:paraId="71BE8D98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责任部门</w:t>
            </w:r>
          </w:p>
        </w:tc>
      </w:tr>
      <w:tr w14:paraId="522B1E4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1" w:hRule="atLeast"/>
        </w:trPr>
        <w:tc>
          <w:tcPr>
            <w:tcW w:w="464" w:type="dxa"/>
            <w:vMerge w:val="restart"/>
            <w:shd w:val="clear" w:color="auto" w:fill="auto"/>
            <w:vAlign w:val="center"/>
          </w:tcPr>
          <w:p w14:paraId="3BB69DAB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人员</w:t>
            </w:r>
          </w:p>
        </w:tc>
        <w:tc>
          <w:tcPr>
            <w:tcW w:w="1147" w:type="dxa"/>
            <w:vMerge w:val="restart"/>
            <w:shd w:val="clear" w:color="auto" w:fill="auto"/>
            <w:vAlign w:val="center"/>
          </w:tcPr>
          <w:p w14:paraId="0C6BDA57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人员</w:t>
            </w:r>
          </w:p>
        </w:tc>
        <w:tc>
          <w:tcPr>
            <w:tcW w:w="2028" w:type="dxa"/>
            <w:shd w:val="clear" w:color="auto" w:fill="auto"/>
          </w:tcPr>
          <w:p w14:paraId="39C41D56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人员储备完成率</w:t>
            </w:r>
          </w:p>
        </w:tc>
        <w:tc>
          <w:tcPr>
            <w:tcW w:w="818" w:type="dxa"/>
            <w:shd w:val="clear" w:color="auto" w:fill="auto"/>
          </w:tcPr>
          <w:p w14:paraId="32CA2C1D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3468" w:type="dxa"/>
            <w:shd w:val="clear" w:color="auto" w:fill="auto"/>
          </w:tcPr>
          <w:p w14:paraId="4A9F2161">
            <w:pPr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实际储备人数/计划储备人员总数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*100%</w:t>
            </w:r>
          </w:p>
        </w:tc>
        <w:tc>
          <w:tcPr>
            <w:tcW w:w="609" w:type="dxa"/>
            <w:shd w:val="clear" w:color="auto" w:fill="auto"/>
          </w:tcPr>
          <w:p w14:paraId="6F8EBAAE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每年度</w:t>
            </w:r>
          </w:p>
        </w:tc>
        <w:tc>
          <w:tcPr>
            <w:tcW w:w="1070" w:type="dxa"/>
            <w:shd w:val="clear" w:color="auto" w:fill="auto"/>
          </w:tcPr>
          <w:p w14:paraId="09462E54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综合部</w:t>
            </w:r>
          </w:p>
        </w:tc>
      </w:tr>
      <w:tr w14:paraId="33AAE34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1" w:hRule="atLeast"/>
        </w:trPr>
        <w:tc>
          <w:tcPr>
            <w:tcW w:w="464" w:type="dxa"/>
            <w:vMerge w:val="continue"/>
            <w:vAlign w:val="center"/>
          </w:tcPr>
          <w:p w14:paraId="0D63DBD4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continue"/>
            <w:vAlign w:val="center"/>
          </w:tcPr>
          <w:p w14:paraId="54FDD9C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 w14:paraId="2AC18746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人员能力合格率</w:t>
            </w:r>
          </w:p>
        </w:tc>
        <w:tc>
          <w:tcPr>
            <w:tcW w:w="818" w:type="dxa"/>
            <w:shd w:val="clear" w:color="auto" w:fill="auto"/>
          </w:tcPr>
          <w:p w14:paraId="2F12207D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 w14:paraId="17D69FB5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人员能力合格人数/参与能力评价人员总数*100%</w:t>
            </w:r>
          </w:p>
        </w:tc>
        <w:tc>
          <w:tcPr>
            <w:tcW w:w="609" w:type="dxa"/>
            <w:shd w:val="clear" w:color="auto" w:fill="auto"/>
          </w:tcPr>
          <w:p w14:paraId="6B7B738E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359442E7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综合部</w:t>
            </w:r>
          </w:p>
        </w:tc>
      </w:tr>
      <w:tr w14:paraId="0C80E9D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6" w:hRule="atLeast"/>
        </w:trPr>
        <w:tc>
          <w:tcPr>
            <w:tcW w:w="464" w:type="dxa"/>
            <w:vMerge w:val="continue"/>
            <w:vAlign w:val="center"/>
          </w:tcPr>
          <w:p w14:paraId="599A60C2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continue"/>
            <w:vAlign w:val="center"/>
          </w:tcPr>
          <w:p w14:paraId="04A8EA0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 w14:paraId="5DB1D10C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培训计划完成率</w:t>
            </w:r>
          </w:p>
        </w:tc>
        <w:tc>
          <w:tcPr>
            <w:tcW w:w="818" w:type="dxa"/>
            <w:shd w:val="clear" w:color="auto" w:fill="auto"/>
          </w:tcPr>
          <w:p w14:paraId="6597DC24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 w14:paraId="5215B8AD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累计培训课程数/计划培训课数*100%</w:t>
            </w:r>
          </w:p>
        </w:tc>
        <w:tc>
          <w:tcPr>
            <w:tcW w:w="609" w:type="dxa"/>
            <w:shd w:val="clear" w:color="auto" w:fill="auto"/>
          </w:tcPr>
          <w:p w14:paraId="4394983C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每月</w:t>
            </w:r>
          </w:p>
        </w:tc>
        <w:tc>
          <w:tcPr>
            <w:tcW w:w="1070" w:type="dxa"/>
            <w:shd w:val="clear" w:color="auto" w:fill="auto"/>
          </w:tcPr>
          <w:p w14:paraId="267DDDA7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综合部</w:t>
            </w:r>
          </w:p>
        </w:tc>
      </w:tr>
      <w:tr w14:paraId="0E3A62A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6" w:hRule="atLeast"/>
        </w:trPr>
        <w:tc>
          <w:tcPr>
            <w:tcW w:w="464" w:type="dxa"/>
            <w:vMerge w:val="continue"/>
            <w:vAlign w:val="center"/>
          </w:tcPr>
          <w:p w14:paraId="28C03732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continue"/>
            <w:vAlign w:val="center"/>
          </w:tcPr>
          <w:p w14:paraId="45B1673E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 w14:paraId="3837691E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招聘人员及时到岗率</w:t>
            </w:r>
          </w:p>
        </w:tc>
        <w:tc>
          <w:tcPr>
            <w:tcW w:w="818" w:type="dxa"/>
            <w:shd w:val="clear" w:color="auto" w:fill="auto"/>
          </w:tcPr>
          <w:p w14:paraId="1A5C8EAF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3468" w:type="dxa"/>
            <w:shd w:val="clear" w:color="auto" w:fill="auto"/>
          </w:tcPr>
          <w:p w14:paraId="43D2773E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年度招聘运维人员及时到岗总人数/年度招聘运维总人数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42D90495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每年度</w:t>
            </w:r>
          </w:p>
        </w:tc>
        <w:tc>
          <w:tcPr>
            <w:tcW w:w="1070" w:type="dxa"/>
            <w:shd w:val="clear" w:color="auto" w:fill="auto"/>
          </w:tcPr>
          <w:p w14:paraId="65B57DC4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综合部</w:t>
            </w:r>
          </w:p>
        </w:tc>
      </w:tr>
      <w:tr w14:paraId="53BDB32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9" w:hRule="atLeast"/>
        </w:trPr>
        <w:tc>
          <w:tcPr>
            <w:tcW w:w="464" w:type="dxa"/>
            <w:vMerge w:val="continue"/>
            <w:vAlign w:val="center"/>
          </w:tcPr>
          <w:p w14:paraId="03999C05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continue"/>
            <w:vAlign w:val="center"/>
          </w:tcPr>
          <w:p w14:paraId="22629ADF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 w14:paraId="1A2579E6">
            <w:pPr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备份计划完成率</w:t>
            </w:r>
          </w:p>
        </w:tc>
        <w:tc>
          <w:tcPr>
            <w:tcW w:w="818" w:type="dxa"/>
            <w:shd w:val="clear" w:color="auto" w:fill="auto"/>
          </w:tcPr>
          <w:p w14:paraId="1E34EDEE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3468" w:type="dxa"/>
            <w:shd w:val="clear" w:color="auto" w:fill="auto"/>
          </w:tcPr>
          <w:p w14:paraId="7ACDBF8B">
            <w:pPr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年度实际备份人数/年度计划备份人数*100%</w:t>
            </w:r>
          </w:p>
        </w:tc>
        <w:tc>
          <w:tcPr>
            <w:tcW w:w="609" w:type="dxa"/>
            <w:shd w:val="clear" w:color="auto" w:fill="auto"/>
          </w:tcPr>
          <w:p w14:paraId="534912DF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每年度</w:t>
            </w:r>
          </w:p>
        </w:tc>
        <w:tc>
          <w:tcPr>
            <w:tcW w:w="1070" w:type="dxa"/>
            <w:shd w:val="clear" w:color="auto" w:fill="auto"/>
          </w:tcPr>
          <w:p w14:paraId="42AD1D16">
            <w:pPr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综合部</w:t>
            </w:r>
          </w:p>
        </w:tc>
      </w:tr>
      <w:tr w14:paraId="7599178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9" w:hRule="atLeast"/>
        </w:trPr>
        <w:tc>
          <w:tcPr>
            <w:tcW w:w="464" w:type="dxa"/>
            <w:vMerge w:val="continue"/>
            <w:vAlign w:val="center"/>
          </w:tcPr>
          <w:p w14:paraId="7E55A492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continue"/>
            <w:vAlign w:val="center"/>
          </w:tcPr>
          <w:p w14:paraId="5238F31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 w14:paraId="747F99A8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绩效考核合格率</w:t>
            </w:r>
          </w:p>
        </w:tc>
        <w:tc>
          <w:tcPr>
            <w:tcW w:w="818" w:type="dxa"/>
            <w:shd w:val="clear" w:color="auto" w:fill="auto"/>
          </w:tcPr>
          <w:p w14:paraId="2F2D4CEF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 w14:paraId="2F11C7DC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绩效考核合格人数/参与考核人员总数*100%</w:t>
            </w:r>
          </w:p>
        </w:tc>
        <w:tc>
          <w:tcPr>
            <w:tcW w:w="609" w:type="dxa"/>
            <w:shd w:val="clear" w:color="auto" w:fill="auto"/>
          </w:tcPr>
          <w:p w14:paraId="7140B2CD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6D20B1A2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综合部</w:t>
            </w:r>
          </w:p>
        </w:tc>
      </w:tr>
      <w:tr w14:paraId="49034DB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8" w:hRule="atLeast"/>
        </w:trPr>
        <w:tc>
          <w:tcPr>
            <w:tcW w:w="464" w:type="dxa"/>
            <w:vMerge w:val="restart"/>
            <w:shd w:val="clear" w:color="auto" w:fill="auto"/>
            <w:vAlign w:val="center"/>
          </w:tcPr>
          <w:p w14:paraId="0D7B9B69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资源</w:t>
            </w:r>
          </w:p>
        </w:tc>
        <w:tc>
          <w:tcPr>
            <w:tcW w:w="1147" w:type="dxa"/>
            <w:shd w:val="clear" w:color="auto" w:fill="auto"/>
            <w:vAlign w:val="center"/>
          </w:tcPr>
          <w:p w14:paraId="33F04BE9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工具</w:t>
            </w:r>
          </w:p>
        </w:tc>
        <w:tc>
          <w:tcPr>
            <w:tcW w:w="2028" w:type="dxa"/>
            <w:shd w:val="clear" w:color="auto" w:fill="auto"/>
          </w:tcPr>
          <w:p w14:paraId="5A46749D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工具使用自评估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次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数</w:t>
            </w:r>
          </w:p>
        </w:tc>
        <w:tc>
          <w:tcPr>
            <w:tcW w:w="818" w:type="dxa"/>
            <w:shd w:val="clear" w:color="auto" w:fill="auto"/>
          </w:tcPr>
          <w:p w14:paraId="1D68A00C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≥1次</w:t>
            </w:r>
          </w:p>
        </w:tc>
        <w:tc>
          <w:tcPr>
            <w:tcW w:w="3468" w:type="dxa"/>
            <w:shd w:val="clear" w:color="auto" w:fill="auto"/>
          </w:tcPr>
          <w:p w14:paraId="6B79688D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工具的使用效果自评估次数</w:t>
            </w:r>
          </w:p>
        </w:tc>
        <w:tc>
          <w:tcPr>
            <w:tcW w:w="609" w:type="dxa"/>
            <w:shd w:val="clear" w:color="auto" w:fill="auto"/>
          </w:tcPr>
          <w:p w14:paraId="681668DD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每年度</w:t>
            </w:r>
          </w:p>
        </w:tc>
        <w:tc>
          <w:tcPr>
            <w:tcW w:w="1070" w:type="dxa"/>
            <w:shd w:val="clear" w:color="auto" w:fill="auto"/>
          </w:tcPr>
          <w:p w14:paraId="02EEA480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交付部</w:t>
            </w:r>
          </w:p>
        </w:tc>
      </w:tr>
      <w:tr w14:paraId="4CA7EFC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shd w:val="clear" w:color="auto" w:fill="auto"/>
            <w:vAlign w:val="center"/>
          </w:tcPr>
          <w:p w14:paraId="0F623E79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</w:p>
        </w:tc>
        <w:tc>
          <w:tcPr>
            <w:tcW w:w="1147" w:type="dxa"/>
            <w:vMerge w:val="restart"/>
            <w:shd w:val="clear" w:color="auto" w:fill="auto"/>
            <w:vAlign w:val="center"/>
          </w:tcPr>
          <w:p w14:paraId="275F98C0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服务台</w:t>
            </w:r>
          </w:p>
        </w:tc>
        <w:tc>
          <w:tcPr>
            <w:tcW w:w="2028" w:type="dxa"/>
            <w:shd w:val="clear" w:color="auto" w:fill="auto"/>
          </w:tcPr>
          <w:p w14:paraId="741D6AC3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投诉24小时内有效处理率</w:t>
            </w:r>
          </w:p>
        </w:tc>
        <w:tc>
          <w:tcPr>
            <w:tcW w:w="818" w:type="dxa"/>
            <w:shd w:val="clear" w:color="auto" w:fill="auto"/>
          </w:tcPr>
          <w:p w14:paraId="6BAFFC64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3468" w:type="dxa"/>
            <w:shd w:val="clear" w:color="auto" w:fill="auto"/>
          </w:tcPr>
          <w:p w14:paraId="3F3DA56C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投诉后24小时内有效处理投诉数/投诉总数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4DFB15ED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每月</w:t>
            </w:r>
          </w:p>
        </w:tc>
        <w:tc>
          <w:tcPr>
            <w:tcW w:w="1070" w:type="dxa"/>
            <w:shd w:val="clear" w:color="auto" w:fill="auto"/>
          </w:tcPr>
          <w:p w14:paraId="5935467D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交付部</w:t>
            </w:r>
          </w:p>
        </w:tc>
      </w:tr>
      <w:tr w14:paraId="16844BE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464" w:type="dxa"/>
            <w:vMerge w:val="continue"/>
            <w:vAlign w:val="center"/>
          </w:tcPr>
          <w:p w14:paraId="41B4A84C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continue"/>
            <w:vAlign w:val="center"/>
          </w:tcPr>
          <w:p w14:paraId="3BFB22B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 w14:paraId="0898A6E8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成功回访事件覆盖率</w:t>
            </w:r>
          </w:p>
        </w:tc>
        <w:tc>
          <w:tcPr>
            <w:tcW w:w="818" w:type="dxa"/>
            <w:shd w:val="clear" w:color="auto" w:fill="auto"/>
          </w:tcPr>
          <w:p w14:paraId="36C9229F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≥60%</w:t>
            </w:r>
          </w:p>
        </w:tc>
        <w:tc>
          <w:tcPr>
            <w:tcW w:w="3468" w:type="dxa"/>
            <w:shd w:val="clear" w:color="auto" w:fill="auto"/>
          </w:tcPr>
          <w:p w14:paraId="59581556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成功回访事件数/事件总数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5DD22A2E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每年度</w:t>
            </w:r>
          </w:p>
        </w:tc>
        <w:tc>
          <w:tcPr>
            <w:tcW w:w="1070" w:type="dxa"/>
            <w:shd w:val="clear" w:color="auto" w:fill="auto"/>
          </w:tcPr>
          <w:p w14:paraId="2F74A70A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交付部</w:t>
            </w:r>
          </w:p>
        </w:tc>
      </w:tr>
      <w:tr w14:paraId="2A5A895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5" w:hRule="atLeast"/>
        </w:trPr>
        <w:tc>
          <w:tcPr>
            <w:tcW w:w="464" w:type="dxa"/>
            <w:vMerge w:val="continue"/>
            <w:vAlign w:val="center"/>
          </w:tcPr>
          <w:p w14:paraId="44324144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shd w:val="clear" w:color="auto" w:fill="auto"/>
            <w:vAlign w:val="center"/>
          </w:tcPr>
          <w:p w14:paraId="38872CDC">
            <w:pPr>
              <w:jc w:val="center"/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备件库</w:t>
            </w:r>
          </w:p>
        </w:tc>
        <w:tc>
          <w:tcPr>
            <w:tcW w:w="2028" w:type="dxa"/>
            <w:shd w:val="clear" w:color="auto" w:fill="auto"/>
          </w:tcPr>
          <w:p w14:paraId="7A53D70C">
            <w:pPr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备件准确率</w:t>
            </w:r>
          </w:p>
        </w:tc>
        <w:tc>
          <w:tcPr>
            <w:tcW w:w="818" w:type="dxa"/>
            <w:shd w:val="clear" w:color="auto" w:fill="auto"/>
          </w:tcPr>
          <w:p w14:paraId="0BC467BF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 w14:paraId="03172779">
            <w:pPr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备件准确数量/备件总数量*100%</w:t>
            </w:r>
          </w:p>
        </w:tc>
        <w:tc>
          <w:tcPr>
            <w:tcW w:w="609" w:type="dxa"/>
            <w:shd w:val="clear" w:color="auto" w:fill="auto"/>
          </w:tcPr>
          <w:p w14:paraId="378CA481">
            <w:pPr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55AFD50E">
            <w:pPr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交付部</w:t>
            </w:r>
          </w:p>
        </w:tc>
      </w:tr>
      <w:tr w14:paraId="532C1D0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vAlign w:val="center"/>
          </w:tcPr>
          <w:p w14:paraId="2A847E64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shd w:val="clear" w:color="auto" w:fill="auto"/>
            <w:vAlign w:val="center"/>
          </w:tcPr>
          <w:p w14:paraId="76F7C618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服务知识</w:t>
            </w:r>
          </w:p>
        </w:tc>
        <w:tc>
          <w:tcPr>
            <w:tcW w:w="2028" w:type="dxa"/>
            <w:shd w:val="clear" w:color="auto" w:fill="auto"/>
          </w:tcPr>
          <w:p w14:paraId="0B4D72CE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服务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知识利用率</w:t>
            </w:r>
          </w:p>
        </w:tc>
        <w:tc>
          <w:tcPr>
            <w:tcW w:w="818" w:type="dxa"/>
            <w:shd w:val="clear" w:color="auto" w:fill="auto"/>
          </w:tcPr>
          <w:p w14:paraId="73D7BFE7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3468" w:type="dxa"/>
            <w:shd w:val="clear" w:color="auto" w:fill="auto"/>
          </w:tcPr>
          <w:p w14:paraId="50CB2653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实际被应用的知识条目数量/知识总条目数量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1B603BDA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33B084C3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交付部</w:t>
            </w:r>
          </w:p>
        </w:tc>
      </w:tr>
      <w:tr w14:paraId="6DA986A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vAlign w:val="center"/>
          </w:tcPr>
          <w:p w14:paraId="52C1C050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shd w:val="clear" w:color="auto" w:fill="auto"/>
            <w:vAlign w:val="center"/>
          </w:tcPr>
          <w:p w14:paraId="697C0E9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最终软件库</w:t>
            </w:r>
          </w:p>
        </w:tc>
        <w:tc>
          <w:tcPr>
            <w:tcW w:w="2028" w:type="dxa"/>
            <w:shd w:val="clear" w:color="auto" w:fill="auto"/>
          </w:tcPr>
          <w:p w14:paraId="1D4E52B8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软件库中软件的可用率</w:t>
            </w:r>
          </w:p>
        </w:tc>
        <w:tc>
          <w:tcPr>
            <w:tcW w:w="818" w:type="dxa"/>
            <w:shd w:val="clear" w:color="auto" w:fill="auto"/>
          </w:tcPr>
          <w:p w14:paraId="0EFD4196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 w14:paraId="7E83F0E6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软件库中软件的可用数/软件库中软件总数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5C647818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每年度</w:t>
            </w:r>
          </w:p>
        </w:tc>
        <w:tc>
          <w:tcPr>
            <w:tcW w:w="1070" w:type="dxa"/>
            <w:shd w:val="clear" w:color="auto" w:fill="auto"/>
          </w:tcPr>
          <w:p w14:paraId="7451445E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交付部</w:t>
            </w:r>
          </w:p>
        </w:tc>
      </w:tr>
      <w:tr w14:paraId="62FF42A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5" w:hRule="atLeast"/>
        </w:trPr>
        <w:tc>
          <w:tcPr>
            <w:tcW w:w="464" w:type="dxa"/>
            <w:vMerge w:val="continue"/>
            <w:vAlign w:val="center"/>
          </w:tcPr>
          <w:p w14:paraId="50568277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shd w:val="clear" w:color="auto" w:fill="auto"/>
            <w:vAlign w:val="center"/>
          </w:tcPr>
          <w:p w14:paraId="36022D3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服务数据</w:t>
            </w:r>
          </w:p>
        </w:tc>
        <w:tc>
          <w:tcPr>
            <w:tcW w:w="2028" w:type="dxa"/>
            <w:shd w:val="clear" w:color="auto" w:fill="auto"/>
          </w:tcPr>
          <w:p w14:paraId="2401593F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服务数据的准确率</w:t>
            </w:r>
          </w:p>
        </w:tc>
        <w:tc>
          <w:tcPr>
            <w:tcW w:w="818" w:type="dxa"/>
            <w:shd w:val="clear" w:color="auto" w:fill="auto"/>
          </w:tcPr>
          <w:p w14:paraId="1FC5226D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 w14:paraId="6F4A8B3A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服务数据的准确数量/服务数据总数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67EE7E9A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每年度</w:t>
            </w:r>
          </w:p>
        </w:tc>
        <w:tc>
          <w:tcPr>
            <w:tcW w:w="1070" w:type="dxa"/>
            <w:shd w:val="clear" w:color="auto" w:fill="auto"/>
          </w:tcPr>
          <w:p w14:paraId="49C18DDB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交付部</w:t>
            </w:r>
          </w:p>
        </w:tc>
      </w:tr>
      <w:tr w14:paraId="4BB941B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shd w:val="clear" w:color="auto" w:fill="auto"/>
            <w:vAlign w:val="center"/>
          </w:tcPr>
          <w:p w14:paraId="1BCC0411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技术</w:t>
            </w:r>
          </w:p>
        </w:tc>
        <w:tc>
          <w:tcPr>
            <w:tcW w:w="1147" w:type="dxa"/>
            <w:shd w:val="clear" w:color="auto" w:fill="auto"/>
            <w:vAlign w:val="center"/>
          </w:tcPr>
          <w:p w14:paraId="1ECE95D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技术研发</w:t>
            </w:r>
          </w:p>
        </w:tc>
        <w:tc>
          <w:tcPr>
            <w:tcW w:w="2028" w:type="dxa"/>
            <w:shd w:val="clear" w:color="auto" w:fill="auto"/>
          </w:tcPr>
          <w:p w14:paraId="528F7844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技术研发成果达成率</w:t>
            </w:r>
          </w:p>
        </w:tc>
        <w:tc>
          <w:tcPr>
            <w:tcW w:w="818" w:type="dxa"/>
            <w:shd w:val="clear" w:color="auto" w:fill="auto"/>
          </w:tcPr>
          <w:p w14:paraId="425513F1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3468" w:type="dxa"/>
            <w:shd w:val="clear" w:color="auto" w:fill="auto"/>
          </w:tcPr>
          <w:p w14:paraId="344E74EC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技术研发成果达成数量/计划研发成果数量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05A92D4B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每年度</w:t>
            </w:r>
          </w:p>
        </w:tc>
        <w:tc>
          <w:tcPr>
            <w:tcW w:w="1070" w:type="dxa"/>
            <w:shd w:val="clear" w:color="auto" w:fill="auto"/>
          </w:tcPr>
          <w:p w14:paraId="541A1C0B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研发部</w:t>
            </w:r>
          </w:p>
        </w:tc>
      </w:tr>
      <w:tr w14:paraId="792290F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4" w:hRule="atLeast"/>
        </w:trPr>
        <w:tc>
          <w:tcPr>
            <w:tcW w:w="464" w:type="dxa"/>
            <w:vMerge w:val="restart"/>
            <w:shd w:val="clear" w:color="auto" w:fill="auto"/>
            <w:vAlign w:val="center"/>
          </w:tcPr>
          <w:p w14:paraId="059165BA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过程</w:t>
            </w:r>
          </w:p>
        </w:tc>
        <w:tc>
          <w:tcPr>
            <w:tcW w:w="1147" w:type="dxa"/>
            <w:shd w:val="clear" w:color="auto" w:fill="auto"/>
            <w:vAlign w:val="center"/>
          </w:tcPr>
          <w:p w14:paraId="402C0738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过程框架设计</w:t>
            </w:r>
          </w:p>
        </w:tc>
        <w:tc>
          <w:tcPr>
            <w:tcW w:w="2028" w:type="dxa"/>
            <w:shd w:val="clear" w:color="auto" w:fill="auto"/>
          </w:tcPr>
          <w:p w14:paraId="5A88EACF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过程框架设计与服务需求的匹配率</w:t>
            </w:r>
          </w:p>
        </w:tc>
        <w:tc>
          <w:tcPr>
            <w:tcW w:w="818" w:type="dxa"/>
            <w:shd w:val="clear" w:color="auto" w:fill="auto"/>
          </w:tcPr>
          <w:p w14:paraId="1EFAFFB1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≥85%</w:t>
            </w:r>
          </w:p>
        </w:tc>
        <w:tc>
          <w:tcPr>
            <w:tcW w:w="3468" w:type="dxa"/>
            <w:shd w:val="clear" w:color="auto" w:fill="auto"/>
          </w:tcPr>
          <w:p w14:paraId="35FC7ED3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匹配的需求项数 / 总需求项数 × 100%</w:t>
            </w:r>
          </w:p>
        </w:tc>
        <w:tc>
          <w:tcPr>
            <w:tcW w:w="609" w:type="dxa"/>
            <w:shd w:val="clear" w:color="auto" w:fill="auto"/>
          </w:tcPr>
          <w:p w14:paraId="639D4402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2ED2F36F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交付部</w:t>
            </w:r>
          </w:p>
        </w:tc>
      </w:tr>
      <w:tr w14:paraId="39A45AD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4" w:hRule="atLeast"/>
        </w:trPr>
        <w:tc>
          <w:tcPr>
            <w:tcW w:w="464" w:type="dxa"/>
            <w:vMerge w:val="continue"/>
            <w:shd w:val="clear" w:color="auto" w:fill="auto"/>
            <w:vAlign w:val="center"/>
          </w:tcPr>
          <w:p w14:paraId="56A1226E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</w:p>
        </w:tc>
        <w:tc>
          <w:tcPr>
            <w:tcW w:w="1147" w:type="dxa"/>
            <w:vMerge w:val="restart"/>
            <w:shd w:val="clear" w:color="auto" w:fill="auto"/>
            <w:vAlign w:val="center"/>
          </w:tcPr>
          <w:p w14:paraId="2A1D8E2E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服务级别</w:t>
            </w:r>
          </w:p>
        </w:tc>
        <w:tc>
          <w:tcPr>
            <w:tcW w:w="2028" w:type="dxa"/>
            <w:shd w:val="clear" w:color="auto" w:fill="auto"/>
          </w:tcPr>
          <w:p w14:paraId="79797AB8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服务级别达成率</w:t>
            </w:r>
          </w:p>
        </w:tc>
        <w:tc>
          <w:tcPr>
            <w:tcW w:w="818" w:type="dxa"/>
            <w:shd w:val="clear" w:color="auto" w:fill="auto"/>
          </w:tcPr>
          <w:p w14:paraId="7492CD51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 w14:paraId="17849518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达成SLA要求的项目数/项目总数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7B3341AB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每月</w:t>
            </w:r>
          </w:p>
        </w:tc>
        <w:tc>
          <w:tcPr>
            <w:tcW w:w="1070" w:type="dxa"/>
            <w:shd w:val="clear" w:color="auto" w:fill="auto"/>
          </w:tcPr>
          <w:p w14:paraId="7EFB1F6B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交付部</w:t>
            </w:r>
          </w:p>
        </w:tc>
      </w:tr>
      <w:tr w14:paraId="53CB150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1" w:hRule="atLeast"/>
        </w:trPr>
        <w:tc>
          <w:tcPr>
            <w:tcW w:w="464" w:type="dxa"/>
            <w:vMerge w:val="continue"/>
            <w:vAlign w:val="center"/>
          </w:tcPr>
          <w:p w14:paraId="3B4A09C1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continue"/>
            <w:vAlign w:val="center"/>
          </w:tcPr>
          <w:p w14:paraId="211965B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 w14:paraId="1C259D2A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SLA达成情况按时监控率</w:t>
            </w:r>
          </w:p>
        </w:tc>
        <w:tc>
          <w:tcPr>
            <w:tcW w:w="818" w:type="dxa"/>
            <w:shd w:val="clear" w:color="auto" w:fill="auto"/>
          </w:tcPr>
          <w:p w14:paraId="3B8C6809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 w14:paraId="7C6BB779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得到及时监控的项目数/项目总数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65C99EB9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597C2528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交付部</w:t>
            </w:r>
          </w:p>
        </w:tc>
      </w:tr>
      <w:tr w14:paraId="0AACD6F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vAlign w:val="center"/>
          </w:tcPr>
          <w:p w14:paraId="2A475EC9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continue"/>
            <w:vAlign w:val="center"/>
          </w:tcPr>
          <w:p w14:paraId="3C08136E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 w14:paraId="02FE2027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未达成指标分析并制定改进措施比率</w:t>
            </w:r>
          </w:p>
        </w:tc>
        <w:tc>
          <w:tcPr>
            <w:tcW w:w="818" w:type="dxa"/>
            <w:shd w:val="clear" w:color="auto" w:fill="auto"/>
          </w:tcPr>
          <w:p w14:paraId="1728B912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3468" w:type="dxa"/>
            <w:shd w:val="clear" w:color="auto" w:fill="auto"/>
          </w:tcPr>
          <w:p w14:paraId="01D2E5B6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监控指标未达标时分析并制定改进措施次数/未达成指标数量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66BC5083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5164ABBD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交付部</w:t>
            </w:r>
          </w:p>
        </w:tc>
      </w:tr>
      <w:tr w14:paraId="0F48E35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vAlign w:val="center"/>
          </w:tcPr>
          <w:p w14:paraId="52109F69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restart"/>
            <w:shd w:val="clear" w:color="auto" w:fill="auto"/>
            <w:vAlign w:val="center"/>
          </w:tcPr>
          <w:p w14:paraId="5963939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服务报告</w:t>
            </w:r>
          </w:p>
        </w:tc>
        <w:tc>
          <w:tcPr>
            <w:tcW w:w="2028" w:type="dxa"/>
            <w:shd w:val="clear" w:color="auto" w:fill="auto"/>
          </w:tcPr>
          <w:p w14:paraId="5C3E0287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服务报告按时交付率</w:t>
            </w:r>
          </w:p>
        </w:tc>
        <w:tc>
          <w:tcPr>
            <w:tcW w:w="818" w:type="dxa"/>
            <w:shd w:val="clear" w:color="auto" w:fill="auto"/>
          </w:tcPr>
          <w:p w14:paraId="61F63577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3468" w:type="dxa"/>
            <w:shd w:val="clear" w:color="auto" w:fill="auto"/>
          </w:tcPr>
          <w:p w14:paraId="4717F506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服务报告按时交付数/服务报告总数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656797F3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78C30930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交付部</w:t>
            </w:r>
          </w:p>
        </w:tc>
      </w:tr>
      <w:tr w14:paraId="1E1254F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vAlign w:val="center"/>
          </w:tcPr>
          <w:p w14:paraId="72F15033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continue"/>
            <w:vAlign w:val="center"/>
          </w:tcPr>
          <w:p w14:paraId="1FF4F31D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 w14:paraId="05A51C45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服务报告审核率</w:t>
            </w:r>
          </w:p>
        </w:tc>
        <w:tc>
          <w:tcPr>
            <w:tcW w:w="818" w:type="dxa"/>
            <w:shd w:val="clear" w:color="auto" w:fill="auto"/>
          </w:tcPr>
          <w:p w14:paraId="6729BE28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3468" w:type="dxa"/>
            <w:shd w:val="clear" w:color="auto" w:fill="auto"/>
          </w:tcPr>
          <w:p w14:paraId="7F4F2E3C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服务发布前按程序审核数/服务报告总数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3F6282C1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35BC6635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交付部</w:t>
            </w:r>
          </w:p>
        </w:tc>
      </w:tr>
      <w:tr w14:paraId="12ECAA1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8" w:hRule="atLeast"/>
        </w:trPr>
        <w:tc>
          <w:tcPr>
            <w:tcW w:w="464" w:type="dxa"/>
            <w:vMerge w:val="continue"/>
            <w:vAlign w:val="center"/>
          </w:tcPr>
          <w:p w14:paraId="2E6115EB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shd w:val="clear" w:color="auto" w:fill="auto"/>
            <w:vAlign w:val="center"/>
          </w:tcPr>
          <w:p w14:paraId="3BBD4324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事件管理</w:t>
            </w:r>
          </w:p>
        </w:tc>
        <w:tc>
          <w:tcPr>
            <w:tcW w:w="2028" w:type="dxa"/>
            <w:shd w:val="clear" w:color="auto" w:fill="auto"/>
          </w:tcPr>
          <w:p w14:paraId="2F584F41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事件及时响应率</w:t>
            </w:r>
          </w:p>
        </w:tc>
        <w:tc>
          <w:tcPr>
            <w:tcW w:w="818" w:type="dxa"/>
            <w:shd w:val="clear" w:color="auto" w:fill="auto"/>
          </w:tcPr>
          <w:p w14:paraId="19B40E6B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 w14:paraId="36C20DDB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月度及时响应的事件/月度总事件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5AD253AB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每月</w:t>
            </w:r>
          </w:p>
        </w:tc>
        <w:tc>
          <w:tcPr>
            <w:tcW w:w="1070" w:type="dxa"/>
            <w:shd w:val="clear" w:color="auto" w:fill="auto"/>
          </w:tcPr>
          <w:p w14:paraId="03455128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交付部</w:t>
            </w:r>
          </w:p>
        </w:tc>
      </w:tr>
      <w:tr w14:paraId="4BDCC3B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vAlign w:val="center"/>
          </w:tcPr>
          <w:p w14:paraId="430B8CE5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restart"/>
            <w:shd w:val="clear" w:color="auto" w:fill="auto"/>
            <w:vAlign w:val="center"/>
          </w:tcPr>
          <w:p w14:paraId="2BE3C7B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问题管理</w:t>
            </w:r>
          </w:p>
        </w:tc>
        <w:tc>
          <w:tcPr>
            <w:tcW w:w="2028" w:type="dxa"/>
            <w:shd w:val="clear" w:color="auto" w:fill="auto"/>
          </w:tcPr>
          <w:p w14:paraId="3900BEF7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三次同类事件分析率</w:t>
            </w:r>
          </w:p>
        </w:tc>
        <w:tc>
          <w:tcPr>
            <w:tcW w:w="818" w:type="dxa"/>
            <w:shd w:val="clear" w:color="auto" w:fill="auto"/>
          </w:tcPr>
          <w:p w14:paraId="34321125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3468" w:type="dxa"/>
            <w:shd w:val="clear" w:color="auto" w:fill="auto"/>
          </w:tcPr>
          <w:p w14:paraId="24EEE2CD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发生三次同类事件时提供分析报告数/当季发生三次同类事件情况总数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34BB0425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583E2223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交付部</w:t>
            </w:r>
          </w:p>
        </w:tc>
      </w:tr>
      <w:tr w14:paraId="1F07FB2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vAlign w:val="center"/>
          </w:tcPr>
          <w:p w14:paraId="374DA691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continue"/>
            <w:vAlign w:val="center"/>
          </w:tcPr>
          <w:p w14:paraId="189BE6E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 w14:paraId="15E02579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问题三个月内得到解决的比率</w:t>
            </w:r>
          </w:p>
        </w:tc>
        <w:tc>
          <w:tcPr>
            <w:tcW w:w="818" w:type="dxa"/>
            <w:shd w:val="clear" w:color="auto" w:fill="auto"/>
          </w:tcPr>
          <w:p w14:paraId="6FAC5ECF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3468" w:type="dxa"/>
            <w:shd w:val="clear" w:color="auto" w:fill="auto"/>
          </w:tcPr>
          <w:p w14:paraId="7AB586B6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问题在三个月内得到解决的数量/发生问题总数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6BFCF8FD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08A08964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交付部</w:t>
            </w:r>
          </w:p>
        </w:tc>
      </w:tr>
      <w:tr w14:paraId="39B2922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4" w:hRule="atLeast"/>
        </w:trPr>
        <w:tc>
          <w:tcPr>
            <w:tcW w:w="464" w:type="dxa"/>
            <w:vMerge w:val="continue"/>
            <w:vAlign w:val="center"/>
          </w:tcPr>
          <w:p w14:paraId="66A1C2A4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restart"/>
            <w:shd w:val="clear" w:color="auto" w:fill="auto"/>
            <w:vAlign w:val="center"/>
          </w:tcPr>
          <w:p w14:paraId="607C005E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变更管理</w:t>
            </w:r>
          </w:p>
        </w:tc>
        <w:tc>
          <w:tcPr>
            <w:tcW w:w="2028" w:type="dxa"/>
            <w:shd w:val="clear" w:color="auto" w:fill="auto"/>
          </w:tcPr>
          <w:p w14:paraId="2070BD17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变更成功率</w:t>
            </w:r>
          </w:p>
        </w:tc>
        <w:tc>
          <w:tcPr>
            <w:tcW w:w="818" w:type="dxa"/>
            <w:shd w:val="clear" w:color="auto" w:fill="auto"/>
          </w:tcPr>
          <w:p w14:paraId="0607A80A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 w14:paraId="64A65439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变更成功的数量/变更总数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4AB77703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6A802BBD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交付部</w:t>
            </w:r>
          </w:p>
        </w:tc>
      </w:tr>
      <w:tr w14:paraId="2F60101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5" w:hRule="atLeast"/>
        </w:trPr>
        <w:tc>
          <w:tcPr>
            <w:tcW w:w="464" w:type="dxa"/>
            <w:vMerge w:val="continue"/>
            <w:vAlign w:val="center"/>
          </w:tcPr>
          <w:p w14:paraId="775D948D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continue"/>
            <w:vAlign w:val="center"/>
          </w:tcPr>
          <w:p w14:paraId="54653194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 w14:paraId="7820C370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紧急变更比率</w:t>
            </w:r>
          </w:p>
        </w:tc>
        <w:tc>
          <w:tcPr>
            <w:tcW w:w="818" w:type="dxa"/>
            <w:shd w:val="clear" w:color="auto" w:fill="auto"/>
          </w:tcPr>
          <w:p w14:paraId="578D44D2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&lt;10%</w:t>
            </w:r>
          </w:p>
        </w:tc>
        <w:tc>
          <w:tcPr>
            <w:tcW w:w="3468" w:type="dxa"/>
            <w:shd w:val="clear" w:color="auto" w:fill="auto"/>
          </w:tcPr>
          <w:p w14:paraId="3C5CEE4F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紧急变更的数量/变更总数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20D8AFC5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04573166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交付部</w:t>
            </w:r>
          </w:p>
        </w:tc>
      </w:tr>
      <w:tr w14:paraId="53526B8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1" w:hRule="atLeast"/>
        </w:trPr>
        <w:tc>
          <w:tcPr>
            <w:tcW w:w="464" w:type="dxa"/>
            <w:vMerge w:val="continue"/>
            <w:vAlign w:val="center"/>
          </w:tcPr>
          <w:p w14:paraId="10840159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shd w:val="clear" w:color="auto" w:fill="auto"/>
            <w:vAlign w:val="center"/>
          </w:tcPr>
          <w:p w14:paraId="41E14A9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发布管理</w:t>
            </w:r>
          </w:p>
        </w:tc>
        <w:tc>
          <w:tcPr>
            <w:tcW w:w="2028" w:type="dxa"/>
            <w:shd w:val="clear" w:color="auto" w:fill="auto"/>
          </w:tcPr>
          <w:p w14:paraId="010D1206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发布实施成功率</w:t>
            </w:r>
          </w:p>
        </w:tc>
        <w:tc>
          <w:tcPr>
            <w:tcW w:w="818" w:type="dxa"/>
            <w:shd w:val="clear" w:color="auto" w:fill="auto"/>
          </w:tcPr>
          <w:p w14:paraId="53C59AEB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 w14:paraId="70BC7B9F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发布实施成功总数/发布实施总数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02DD7E4A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364030A0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交付部</w:t>
            </w:r>
          </w:p>
        </w:tc>
      </w:tr>
      <w:tr w14:paraId="71A17E5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vAlign w:val="center"/>
          </w:tcPr>
          <w:p w14:paraId="371B3D64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restart"/>
            <w:shd w:val="clear" w:color="auto" w:fill="auto"/>
            <w:vAlign w:val="center"/>
          </w:tcPr>
          <w:p w14:paraId="72B3C52C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配置管理</w:t>
            </w:r>
          </w:p>
        </w:tc>
        <w:tc>
          <w:tcPr>
            <w:tcW w:w="2028" w:type="dxa"/>
            <w:shd w:val="clear" w:color="auto" w:fill="auto"/>
          </w:tcPr>
          <w:p w14:paraId="57AF1620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配置项更新时间达标率</w:t>
            </w:r>
          </w:p>
        </w:tc>
        <w:tc>
          <w:tcPr>
            <w:tcW w:w="818" w:type="dxa"/>
            <w:shd w:val="clear" w:color="auto" w:fill="auto"/>
          </w:tcPr>
          <w:p w14:paraId="53BDF773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3468" w:type="dxa"/>
            <w:shd w:val="clear" w:color="auto" w:fill="auto"/>
          </w:tcPr>
          <w:p w14:paraId="7D34FE96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配置项变更时在7日内更新记录的项目数/发生配置项变更的项目总数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45AB864E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23D80262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交付部</w:t>
            </w:r>
          </w:p>
        </w:tc>
      </w:tr>
      <w:tr w14:paraId="7E9FCB4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vAlign w:val="center"/>
          </w:tcPr>
          <w:p w14:paraId="306399D0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continue"/>
            <w:shd w:val="clear" w:color="auto" w:fill="auto"/>
            <w:vAlign w:val="center"/>
          </w:tcPr>
          <w:p w14:paraId="49D8599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 w14:paraId="43239C36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抽查配置管理数据库准确率</w:t>
            </w:r>
          </w:p>
        </w:tc>
        <w:tc>
          <w:tcPr>
            <w:tcW w:w="818" w:type="dxa"/>
            <w:shd w:val="clear" w:color="auto" w:fill="auto"/>
          </w:tcPr>
          <w:p w14:paraId="3794EECE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≥98%</w:t>
            </w:r>
          </w:p>
        </w:tc>
        <w:tc>
          <w:tcPr>
            <w:tcW w:w="3468" w:type="dxa"/>
            <w:shd w:val="clear" w:color="auto" w:fill="auto"/>
          </w:tcPr>
          <w:p w14:paraId="23668DF0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抽查的配置项记录与现场实际相符的项目数/抽查配置项的项目总数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40BF5172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224C1F46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交付部</w:t>
            </w:r>
          </w:p>
        </w:tc>
      </w:tr>
      <w:tr w14:paraId="5EDA568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vAlign w:val="center"/>
          </w:tcPr>
          <w:p w14:paraId="14CC2BB0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restart"/>
            <w:shd w:val="clear" w:color="auto" w:fill="auto"/>
            <w:vAlign w:val="center"/>
          </w:tcPr>
          <w:p w14:paraId="1B333773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服务可用性和连续性管理</w:t>
            </w:r>
          </w:p>
        </w:tc>
        <w:tc>
          <w:tcPr>
            <w:tcW w:w="2028" w:type="dxa"/>
            <w:shd w:val="clear" w:color="auto" w:fill="auto"/>
            <w:vAlign w:val="center"/>
          </w:tcPr>
          <w:p w14:paraId="15F60F67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服务可用率</w:t>
            </w:r>
          </w:p>
        </w:tc>
        <w:tc>
          <w:tcPr>
            <w:tcW w:w="818" w:type="dxa"/>
            <w:shd w:val="clear"/>
            <w:vAlign w:val="top"/>
          </w:tcPr>
          <w:p w14:paraId="27135C76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≥98%</w:t>
            </w:r>
          </w:p>
        </w:tc>
        <w:tc>
          <w:tcPr>
            <w:tcW w:w="3468" w:type="dxa"/>
            <w:shd w:val="clear" w:color="auto" w:fill="auto"/>
            <w:vAlign w:val="center"/>
          </w:tcPr>
          <w:p w14:paraId="6C7E232B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服务实际可用时间/服务计划可用时间*100%</w:t>
            </w:r>
          </w:p>
        </w:tc>
        <w:tc>
          <w:tcPr>
            <w:tcW w:w="609" w:type="dxa"/>
            <w:shd w:val="clear" w:color="auto" w:fill="auto"/>
            <w:vAlign w:val="top"/>
          </w:tcPr>
          <w:p w14:paraId="3A40AAD5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425BBED8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交付部</w:t>
            </w:r>
          </w:p>
        </w:tc>
      </w:tr>
      <w:tr w14:paraId="6204F9D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vAlign w:val="center"/>
          </w:tcPr>
          <w:p w14:paraId="38D3D715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continue"/>
            <w:tcBorders/>
            <w:shd w:val="clear" w:color="auto" w:fill="auto"/>
            <w:vAlign w:val="center"/>
          </w:tcPr>
          <w:p w14:paraId="00F625C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  <w:vAlign w:val="center"/>
          </w:tcPr>
          <w:p w14:paraId="6A1C60B8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服务故障中断次数</w:t>
            </w:r>
          </w:p>
        </w:tc>
        <w:tc>
          <w:tcPr>
            <w:tcW w:w="818" w:type="dxa"/>
            <w:shd w:val="clear"/>
            <w:vAlign w:val="top"/>
          </w:tcPr>
          <w:p w14:paraId="23FFBDB6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≤1次</w:t>
            </w:r>
            <w:bookmarkStart w:id="3" w:name="_GoBack"/>
            <w:bookmarkEnd w:id="3"/>
          </w:p>
        </w:tc>
        <w:tc>
          <w:tcPr>
            <w:tcW w:w="3468" w:type="dxa"/>
            <w:shd w:val="clear" w:color="auto" w:fill="auto"/>
            <w:vAlign w:val="center"/>
          </w:tcPr>
          <w:p w14:paraId="53ADA082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数量，因服务故障导致的服务中断次数</w:t>
            </w:r>
          </w:p>
        </w:tc>
        <w:tc>
          <w:tcPr>
            <w:tcW w:w="609" w:type="dxa"/>
            <w:shd w:val="clear" w:color="auto" w:fill="auto"/>
            <w:vAlign w:val="top"/>
          </w:tcPr>
          <w:p w14:paraId="1088969A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02007EA7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交付部</w:t>
            </w:r>
          </w:p>
        </w:tc>
      </w:tr>
      <w:tr w14:paraId="4925E1A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vAlign w:val="center"/>
          </w:tcPr>
          <w:p w14:paraId="02EB9239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shd w:val="clear" w:color="auto" w:fill="auto"/>
            <w:vAlign w:val="center"/>
          </w:tcPr>
          <w:p w14:paraId="0778634E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系统容量管理</w:t>
            </w:r>
          </w:p>
        </w:tc>
        <w:tc>
          <w:tcPr>
            <w:tcW w:w="2028" w:type="dxa"/>
            <w:shd w:val="clear" w:color="auto" w:fill="auto"/>
          </w:tcPr>
          <w:p w14:paraId="42A42ED3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由于容量原因发生的事件次数</w:t>
            </w:r>
          </w:p>
        </w:tc>
        <w:tc>
          <w:tcPr>
            <w:tcW w:w="818" w:type="dxa"/>
            <w:shd w:val="clear" w:color="auto" w:fill="auto"/>
          </w:tcPr>
          <w:p w14:paraId="3F479C37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&lt;3次</w:t>
            </w:r>
          </w:p>
        </w:tc>
        <w:tc>
          <w:tcPr>
            <w:tcW w:w="3468" w:type="dxa"/>
            <w:shd w:val="clear" w:color="auto" w:fill="auto"/>
          </w:tcPr>
          <w:p w14:paraId="6D1A1170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由于容量原因发生的事件次数</w:t>
            </w:r>
          </w:p>
        </w:tc>
        <w:tc>
          <w:tcPr>
            <w:tcW w:w="609" w:type="dxa"/>
            <w:shd w:val="clear" w:color="auto" w:fill="auto"/>
          </w:tcPr>
          <w:p w14:paraId="237D67DE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1A174D83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交付部</w:t>
            </w:r>
          </w:p>
        </w:tc>
      </w:tr>
      <w:tr w14:paraId="50BF007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7" w:hRule="atLeast"/>
        </w:trPr>
        <w:tc>
          <w:tcPr>
            <w:tcW w:w="464" w:type="dxa"/>
            <w:vMerge w:val="continue"/>
            <w:vAlign w:val="center"/>
          </w:tcPr>
          <w:p w14:paraId="4F935B7D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restart"/>
            <w:shd w:val="clear" w:color="auto" w:fill="auto"/>
            <w:vAlign w:val="center"/>
          </w:tcPr>
          <w:p w14:paraId="2B6460E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信息安全</w:t>
            </w:r>
          </w:p>
        </w:tc>
        <w:tc>
          <w:tcPr>
            <w:tcW w:w="2028" w:type="dxa"/>
            <w:shd w:val="clear" w:color="auto" w:fill="auto"/>
          </w:tcPr>
          <w:p w14:paraId="2C3DF2BC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客户信息泄露次数</w:t>
            </w:r>
          </w:p>
        </w:tc>
        <w:tc>
          <w:tcPr>
            <w:tcW w:w="818" w:type="dxa"/>
            <w:shd w:val="clear" w:color="auto" w:fill="auto"/>
          </w:tcPr>
          <w:p w14:paraId="3496FC65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0次</w:t>
            </w:r>
          </w:p>
        </w:tc>
        <w:tc>
          <w:tcPr>
            <w:tcW w:w="3468" w:type="dxa"/>
            <w:shd w:val="clear" w:color="auto" w:fill="auto"/>
          </w:tcPr>
          <w:p w14:paraId="7F1FD0BC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服务过程中不得发生客户信息泄露</w:t>
            </w:r>
          </w:p>
        </w:tc>
        <w:tc>
          <w:tcPr>
            <w:tcW w:w="609" w:type="dxa"/>
            <w:shd w:val="clear" w:color="auto" w:fill="auto"/>
          </w:tcPr>
          <w:p w14:paraId="158CDE9A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每年度</w:t>
            </w:r>
          </w:p>
        </w:tc>
        <w:tc>
          <w:tcPr>
            <w:tcW w:w="1070" w:type="dxa"/>
            <w:shd w:val="clear" w:color="auto" w:fill="auto"/>
          </w:tcPr>
          <w:p w14:paraId="474595D8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交付部</w:t>
            </w:r>
          </w:p>
        </w:tc>
      </w:tr>
      <w:tr w14:paraId="77DB5B2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vAlign w:val="center"/>
          </w:tcPr>
          <w:p w14:paraId="31A41BEB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continue"/>
            <w:vAlign w:val="center"/>
          </w:tcPr>
          <w:p w14:paraId="61997BB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 w14:paraId="4F22197D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信息安全事件客户投诉</w:t>
            </w:r>
          </w:p>
        </w:tc>
        <w:tc>
          <w:tcPr>
            <w:tcW w:w="818" w:type="dxa"/>
            <w:shd w:val="clear" w:color="auto" w:fill="auto"/>
          </w:tcPr>
          <w:p w14:paraId="136A999F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0次</w:t>
            </w:r>
          </w:p>
        </w:tc>
        <w:tc>
          <w:tcPr>
            <w:tcW w:w="3468" w:type="dxa"/>
            <w:shd w:val="clear" w:color="auto" w:fill="auto"/>
          </w:tcPr>
          <w:p w14:paraId="2AC32425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服务过程中不得发生信息安全事件客户投诉</w:t>
            </w:r>
          </w:p>
        </w:tc>
        <w:tc>
          <w:tcPr>
            <w:tcW w:w="609" w:type="dxa"/>
            <w:shd w:val="clear" w:color="auto" w:fill="auto"/>
          </w:tcPr>
          <w:p w14:paraId="09FB3994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每年度</w:t>
            </w:r>
          </w:p>
        </w:tc>
        <w:tc>
          <w:tcPr>
            <w:tcW w:w="1070" w:type="dxa"/>
            <w:shd w:val="clear" w:color="auto" w:fill="auto"/>
          </w:tcPr>
          <w:p w14:paraId="68D3E68C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交付部</w:t>
            </w:r>
          </w:p>
        </w:tc>
      </w:tr>
      <w:tr w14:paraId="49CF288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restart"/>
            <w:shd w:val="clear" w:color="auto" w:fill="auto"/>
            <w:vAlign w:val="center"/>
          </w:tcPr>
          <w:p w14:paraId="4E9CDC39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</w:t>
            </w:r>
          </w:p>
        </w:tc>
        <w:tc>
          <w:tcPr>
            <w:tcW w:w="1147" w:type="dxa"/>
            <w:vMerge w:val="restart"/>
            <w:shd w:val="clear" w:color="auto" w:fill="auto"/>
            <w:vAlign w:val="center"/>
          </w:tcPr>
          <w:p w14:paraId="300DAF24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</w:t>
            </w:r>
          </w:p>
        </w:tc>
        <w:tc>
          <w:tcPr>
            <w:tcW w:w="2028" w:type="dxa"/>
            <w:shd w:val="clear" w:color="auto" w:fill="auto"/>
          </w:tcPr>
          <w:p w14:paraId="218864EE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交付及时率</w:t>
            </w:r>
          </w:p>
        </w:tc>
        <w:tc>
          <w:tcPr>
            <w:tcW w:w="818" w:type="dxa"/>
            <w:shd w:val="clear" w:color="auto" w:fill="auto"/>
          </w:tcPr>
          <w:p w14:paraId="1470DFF1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 w14:paraId="664194D1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及时交付数量/总交付数量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3AE4517E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7DE304C1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交付部</w:t>
            </w:r>
          </w:p>
        </w:tc>
      </w:tr>
      <w:tr w14:paraId="7F4F821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vAlign w:val="center"/>
          </w:tcPr>
          <w:p w14:paraId="32B2253F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continue"/>
            <w:vAlign w:val="center"/>
          </w:tcPr>
          <w:p w14:paraId="4FB8434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 w14:paraId="68E27801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远程交付的确认率</w:t>
            </w:r>
          </w:p>
        </w:tc>
        <w:tc>
          <w:tcPr>
            <w:tcW w:w="818" w:type="dxa"/>
            <w:shd w:val="clear" w:color="auto" w:fill="auto"/>
          </w:tcPr>
          <w:p w14:paraId="3FE5F277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≥97%</w:t>
            </w:r>
          </w:p>
        </w:tc>
        <w:tc>
          <w:tcPr>
            <w:tcW w:w="3468" w:type="dxa"/>
            <w:shd w:val="clear" w:color="auto" w:fill="auto"/>
          </w:tcPr>
          <w:p w14:paraId="7DC355BD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远程交付确认数/远程交付数*100%</w:t>
            </w:r>
          </w:p>
        </w:tc>
        <w:tc>
          <w:tcPr>
            <w:tcW w:w="609" w:type="dxa"/>
            <w:shd w:val="clear" w:color="auto" w:fill="auto"/>
          </w:tcPr>
          <w:p w14:paraId="1CCC7AE7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533C9965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交付部</w:t>
            </w:r>
          </w:p>
        </w:tc>
      </w:tr>
      <w:tr w14:paraId="7ECE906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vAlign w:val="center"/>
          </w:tcPr>
          <w:p w14:paraId="4A6576DB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continue"/>
            <w:vAlign w:val="center"/>
          </w:tcPr>
          <w:p w14:paraId="451395F4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 w14:paraId="580925D3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例行操作记录完整率</w:t>
            </w:r>
          </w:p>
        </w:tc>
        <w:tc>
          <w:tcPr>
            <w:tcW w:w="818" w:type="dxa"/>
            <w:shd w:val="clear" w:color="auto" w:fill="auto"/>
          </w:tcPr>
          <w:p w14:paraId="37BBD249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 w14:paraId="6EEFCEE1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完整例行操作记录数/例行操作记录数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271B0EA6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0B76A5C4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交付部</w:t>
            </w:r>
          </w:p>
        </w:tc>
      </w:tr>
      <w:tr w14:paraId="1C08426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restart"/>
            <w:shd w:val="clear" w:color="auto" w:fill="auto"/>
            <w:vAlign w:val="center"/>
          </w:tcPr>
          <w:p w14:paraId="23E0DCD2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应急</w:t>
            </w:r>
          </w:p>
        </w:tc>
        <w:tc>
          <w:tcPr>
            <w:tcW w:w="1147" w:type="dxa"/>
            <w:vMerge w:val="restart"/>
            <w:shd w:val="clear" w:color="auto" w:fill="auto"/>
            <w:vAlign w:val="center"/>
          </w:tcPr>
          <w:p w14:paraId="7519B39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应急</w:t>
            </w:r>
          </w:p>
        </w:tc>
        <w:tc>
          <w:tcPr>
            <w:tcW w:w="2028" w:type="dxa"/>
            <w:shd w:val="clear" w:color="auto" w:fill="auto"/>
          </w:tcPr>
          <w:p w14:paraId="0722D16B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应急预案的覆盖率</w:t>
            </w:r>
          </w:p>
        </w:tc>
        <w:tc>
          <w:tcPr>
            <w:tcW w:w="818" w:type="dxa"/>
            <w:shd w:val="clear" w:color="auto" w:fill="auto"/>
          </w:tcPr>
          <w:p w14:paraId="37461524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3468" w:type="dxa"/>
            <w:shd w:val="clear" w:color="auto" w:fill="auto"/>
          </w:tcPr>
          <w:p w14:paraId="53B56707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评审有效的应急预案数/已识别应急场景数*100%</w:t>
            </w:r>
          </w:p>
        </w:tc>
        <w:tc>
          <w:tcPr>
            <w:tcW w:w="609" w:type="dxa"/>
            <w:shd w:val="clear" w:color="auto" w:fill="auto"/>
          </w:tcPr>
          <w:p w14:paraId="1ADFAB7F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524C664A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交付部</w:t>
            </w:r>
          </w:p>
        </w:tc>
      </w:tr>
      <w:tr w14:paraId="7874B23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6" w:hRule="atLeast"/>
        </w:trPr>
        <w:tc>
          <w:tcPr>
            <w:tcW w:w="464" w:type="dxa"/>
            <w:vMerge w:val="continue"/>
            <w:vAlign w:val="center"/>
          </w:tcPr>
          <w:p w14:paraId="61D26880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continue"/>
            <w:vAlign w:val="center"/>
          </w:tcPr>
          <w:p w14:paraId="0D4C79E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 w14:paraId="1D037D7E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及时响应率</w:t>
            </w:r>
          </w:p>
        </w:tc>
        <w:tc>
          <w:tcPr>
            <w:tcW w:w="818" w:type="dxa"/>
            <w:shd w:val="clear" w:color="auto" w:fill="auto"/>
          </w:tcPr>
          <w:p w14:paraId="24415056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3468" w:type="dxa"/>
            <w:shd w:val="clear" w:color="auto" w:fill="auto"/>
          </w:tcPr>
          <w:p w14:paraId="1E77A7FB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及时响应数量/总响应数量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4464B628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5363A69D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交付部</w:t>
            </w:r>
          </w:p>
        </w:tc>
      </w:tr>
      <w:tr w14:paraId="7FB2B98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0" w:hRule="atLeast"/>
        </w:trPr>
        <w:tc>
          <w:tcPr>
            <w:tcW w:w="464" w:type="dxa"/>
            <w:vMerge w:val="restart"/>
            <w:vAlign w:val="center"/>
          </w:tcPr>
          <w:p w14:paraId="2CD77C56">
            <w:pPr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质量</w:t>
            </w:r>
          </w:p>
        </w:tc>
        <w:tc>
          <w:tcPr>
            <w:tcW w:w="1147" w:type="dxa"/>
            <w:shd w:val="clear" w:color="auto" w:fill="auto"/>
            <w:vAlign w:val="center"/>
          </w:tcPr>
          <w:p w14:paraId="12469F1F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客户满意度</w:t>
            </w:r>
          </w:p>
        </w:tc>
        <w:tc>
          <w:tcPr>
            <w:tcW w:w="2028" w:type="dxa"/>
            <w:shd w:val="clear" w:color="auto" w:fill="auto"/>
          </w:tcPr>
          <w:p w14:paraId="1DE75675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满意度</w:t>
            </w:r>
          </w:p>
        </w:tc>
        <w:tc>
          <w:tcPr>
            <w:tcW w:w="818" w:type="dxa"/>
            <w:shd w:val="clear" w:color="auto" w:fill="auto"/>
          </w:tcPr>
          <w:p w14:paraId="5A4B85CE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≥95.5分</w:t>
            </w:r>
          </w:p>
        </w:tc>
        <w:tc>
          <w:tcPr>
            <w:tcW w:w="3468" w:type="dxa"/>
            <w:shd w:val="clear" w:color="auto" w:fill="auto"/>
          </w:tcPr>
          <w:p w14:paraId="2F7257C3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满意度调查总分数/调查客户总数</w:t>
            </w:r>
          </w:p>
        </w:tc>
        <w:tc>
          <w:tcPr>
            <w:tcW w:w="609" w:type="dxa"/>
            <w:shd w:val="clear" w:color="auto" w:fill="auto"/>
          </w:tcPr>
          <w:p w14:paraId="77BD116E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每年度</w:t>
            </w:r>
          </w:p>
        </w:tc>
        <w:tc>
          <w:tcPr>
            <w:tcW w:w="1070" w:type="dxa"/>
            <w:shd w:val="clear" w:color="auto" w:fill="auto"/>
          </w:tcPr>
          <w:p w14:paraId="75247B14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交付部</w:t>
            </w:r>
          </w:p>
        </w:tc>
      </w:tr>
      <w:tr w14:paraId="6CF99E4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0" w:hRule="atLeast"/>
        </w:trPr>
        <w:tc>
          <w:tcPr>
            <w:tcW w:w="464" w:type="dxa"/>
            <w:vMerge w:val="continue"/>
            <w:vAlign w:val="center"/>
          </w:tcPr>
          <w:p w14:paraId="66B51A33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shd w:val="clear" w:color="auto" w:fill="auto"/>
            <w:vAlign w:val="center"/>
          </w:tcPr>
          <w:p w14:paraId="2109A7C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管理评审</w:t>
            </w:r>
          </w:p>
        </w:tc>
        <w:tc>
          <w:tcPr>
            <w:tcW w:w="2028" w:type="dxa"/>
            <w:shd w:val="clear" w:color="auto" w:fill="auto"/>
          </w:tcPr>
          <w:p w14:paraId="319E57DC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管理评审次数</w:t>
            </w:r>
          </w:p>
        </w:tc>
        <w:tc>
          <w:tcPr>
            <w:tcW w:w="818" w:type="dxa"/>
            <w:shd w:val="clear" w:color="auto" w:fill="auto"/>
          </w:tcPr>
          <w:p w14:paraId="43950AED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1次</w:t>
            </w:r>
          </w:p>
        </w:tc>
        <w:tc>
          <w:tcPr>
            <w:tcW w:w="3468" w:type="dxa"/>
            <w:shd w:val="clear" w:color="auto" w:fill="auto"/>
          </w:tcPr>
          <w:p w14:paraId="761D2E62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统计管理评审报告记录文件的次数</w:t>
            </w:r>
          </w:p>
        </w:tc>
        <w:tc>
          <w:tcPr>
            <w:tcW w:w="609" w:type="dxa"/>
            <w:shd w:val="clear" w:color="auto" w:fill="auto"/>
          </w:tcPr>
          <w:p w14:paraId="652145F5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每年度</w:t>
            </w:r>
          </w:p>
        </w:tc>
        <w:tc>
          <w:tcPr>
            <w:tcW w:w="1070" w:type="dxa"/>
            <w:shd w:val="clear" w:color="auto" w:fill="auto"/>
          </w:tcPr>
          <w:p w14:paraId="5F31E29D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质量部</w:t>
            </w:r>
          </w:p>
        </w:tc>
      </w:tr>
      <w:tr w14:paraId="706D152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</w:trPr>
        <w:tc>
          <w:tcPr>
            <w:tcW w:w="464" w:type="dxa"/>
            <w:vMerge w:val="continue"/>
            <w:vAlign w:val="center"/>
          </w:tcPr>
          <w:p w14:paraId="68CA1598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shd w:val="clear" w:color="auto" w:fill="auto"/>
            <w:vAlign w:val="center"/>
          </w:tcPr>
          <w:p w14:paraId="32CD4D7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内部审核</w:t>
            </w:r>
          </w:p>
        </w:tc>
        <w:tc>
          <w:tcPr>
            <w:tcW w:w="2028" w:type="dxa"/>
            <w:shd w:val="clear" w:color="auto" w:fill="auto"/>
          </w:tcPr>
          <w:p w14:paraId="5F181D93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内部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审核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次数</w:t>
            </w:r>
          </w:p>
        </w:tc>
        <w:tc>
          <w:tcPr>
            <w:tcW w:w="818" w:type="dxa"/>
            <w:shd w:val="clear" w:color="auto" w:fill="auto"/>
          </w:tcPr>
          <w:p w14:paraId="04DF4973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≥1次</w:t>
            </w:r>
          </w:p>
        </w:tc>
        <w:tc>
          <w:tcPr>
            <w:tcW w:w="3468" w:type="dxa"/>
            <w:shd w:val="clear" w:color="auto" w:fill="auto"/>
          </w:tcPr>
          <w:p w14:paraId="1EA41DFA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统计内部审核报告记录文件的次数</w:t>
            </w:r>
          </w:p>
        </w:tc>
        <w:tc>
          <w:tcPr>
            <w:tcW w:w="609" w:type="dxa"/>
            <w:shd w:val="clear" w:color="auto" w:fill="auto"/>
          </w:tcPr>
          <w:p w14:paraId="58E7C4EF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每年度</w:t>
            </w:r>
          </w:p>
        </w:tc>
        <w:tc>
          <w:tcPr>
            <w:tcW w:w="1070" w:type="dxa"/>
            <w:shd w:val="clear" w:color="auto" w:fill="auto"/>
          </w:tcPr>
          <w:p w14:paraId="53F86A61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质量部</w:t>
            </w:r>
          </w:p>
        </w:tc>
      </w:tr>
    </w:tbl>
    <w:p w14:paraId="70097EF2">
      <w:pPr>
        <w:pStyle w:val="29"/>
        <w:bidi w:val="0"/>
        <w:jc w:val="center"/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EBC77C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2BE7183"/>
    <w:rsid w:val="1CFC3583"/>
    <w:rsid w:val="21F614A5"/>
    <w:rsid w:val="494B04D8"/>
    <w:rsid w:val="6D2A25C0"/>
    <w:rsid w:val="7FCA6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1662</Words>
  <Characters>1927</Characters>
  <Lines>0</Lines>
  <Paragraphs>0</Paragraphs>
  <TotalTime>0</TotalTime>
  <ScaleCrop>false</ScaleCrop>
  <LinksUpToDate>false</LinksUpToDate>
  <CharactersWithSpaces>1942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2026-03-10T22:39:28Z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