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4F267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2-02</w:t>
      </w:r>
    </w:p>
    <w:p w14:paraId="53A0E72C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6232D109">
      <w:pPr>
        <w:pStyle w:val="25"/>
        <w:widowControl w:val="0"/>
        <w:spacing w:after="1872"/>
        <w:rPr>
          <w:lang w:eastAsia="zh-CN"/>
        </w:rPr>
      </w:pPr>
      <w:bookmarkStart w:id="0" w:name="_Toc2568"/>
      <w:r>
        <w:rPr>
          <w:lang w:eastAsia="zh-CN"/>
        </w:rPr>
        <w:t>陕西益利德软件科技有限公司</w:t>
      </w:r>
      <w:bookmarkEnd w:id="0"/>
    </w:p>
    <w:p w14:paraId="20B899AD">
      <w:pPr>
        <w:pStyle w:val="26"/>
        <w:widowControl w:val="0"/>
        <w:spacing w:after="2808"/>
        <w:rPr>
          <w:rFonts w:hint="eastAsia"/>
          <w:sz w:val="48"/>
          <w:szCs w:val="48"/>
          <w:lang w:eastAsia="zh-CN"/>
        </w:rPr>
      </w:pPr>
      <w:bookmarkStart w:id="1" w:name="_Toc29424"/>
      <w:r>
        <w:rPr>
          <w:rFonts w:hint="eastAsia"/>
          <w:sz w:val="48"/>
          <w:szCs w:val="48"/>
          <w:lang w:eastAsia="zh-CN"/>
        </w:rPr>
        <w:t>陕西华龙制药有限公司SPS产品支持服务项目数据清洗策略实施方案</w:t>
      </w:r>
      <w:bookmarkEnd w:id="1"/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2DA80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vAlign w:val="top"/>
          </w:tcPr>
          <w:p w14:paraId="4248643C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编制人:</w:t>
            </w:r>
            <w:r>
              <w:rPr>
                <w:rFonts w:hint="eastAsia" w:ascii="宋体" w:hAnsi="宋体" w:cs="宋体"/>
                <w:sz w:val="21"/>
                <w:u w:val="single"/>
                <w:lang w:val="en-US" w:eastAsia="zh-CN"/>
              </w:rPr>
              <w:t>王潇</w:t>
            </w:r>
          </w:p>
        </w:tc>
        <w:tc>
          <w:tcPr>
            <w:tcW w:w="4261" w:type="dxa"/>
          </w:tcPr>
          <w:p w14:paraId="137C5D94">
            <w:pPr>
              <w:pStyle w:val="30"/>
              <w:widowControl w:val="0"/>
              <w:ind w:firstLine="42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编制时间:</w:t>
            </w:r>
            <w:r>
              <w:rPr>
                <w:sz w:val="21"/>
                <w:u w:val="single"/>
              </w:rPr>
              <w:t>2025.7.3</w:t>
            </w:r>
          </w:p>
        </w:tc>
      </w:tr>
      <w:tr w14:paraId="12282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vAlign w:val="top"/>
          </w:tcPr>
          <w:p w14:paraId="25C77F17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审核人:</w:t>
            </w:r>
            <w:r>
              <w:rPr>
                <w:rFonts w:hint="eastAsia" w:ascii="宋体" w:hAnsi="宋体" w:cs="宋体"/>
                <w:sz w:val="21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</w:tcPr>
          <w:p w14:paraId="7DD66CA9">
            <w:pPr>
              <w:pStyle w:val="30"/>
              <w:widowControl w:val="0"/>
              <w:ind w:firstLine="42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编制时间:</w:t>
            </w:r>
            <w:r>
              <w:rPr>
                <w:sz w:val="21"/>
                <w:u w:val="single"/>
              </w:rPr>
              <w:t>2025.7.3</w:t>
            </w:r>
          </w:p>
        </w:tc>
      </w:tr>
      <w:tr w14:paraId="0ABD1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5BBAFFF8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批准人:</w:t>
            </w:r>
            <w:r>
              <w:rPr>
                <w:rFonts w:hint="eastAsia" w:ascii="宋体" w:hAnsi="宋体" w:cs="宋体"/>
                <w:sz w:val="21"/>
                <w:u w:val="single"/>
              </w:rPr>
              <w:t>鲁玉锋</w:t>
            </w:r>
          </w:p>
        </w:tc>
        <w:tc>
          <w:tcPr>
            <w:tcW w:w="4261" w:type="dxa"/>
          </w:tcPr>
          <w:p w14:paraId="631CFDAE">
            <w:pPr>
              <w:pStyle w:val="30"/>
              <w:widowControl w:val="0"/>
              <w:ind w:firstLine="42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审批时间:</w:t>
            </w:r>
            <w:r>
              <w:rPr>
                <w:sz w:val="21"/>
                <w:u w:val="single"/>
              </w:rPr>
              <w:t>2025.7.3</w:t>
            </w:r>
          </w:p>
        </w:tc>
      </w:tr>
    </w:tbl>
    <w:p w14:paraId="49CB19CF">
      <w:pPr>
        <w:pStyle w:val="30"/>
        <w:widowControl w:val="0"/>
        <w:ind w:firstLine="480"/>
      </w:pPr>
      <w:r>
        <w:br w:type="page"/>
      </w:r>
    </w:p>
    <w:p w14:paraId="51F39E23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B318D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42646D03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5972C5E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1BFEDC9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08603250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0DBEC5E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75E8F2FE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7FB6C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7759369">
            <w:pPr>
              <w:widowControl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bookmarkStart w:id="23" w:name="_GoBack" w:colFirst="3" w:colLast="4"/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7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919" w:type="dxa"/>
          </w:tcPr>
          <w:p w14:paraId="595740D4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21585B6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  <w:vAlign w:val="top"/>
          </w:tcPr>
          <w:p w14:paraId="48E4DF3D">
            <w:pPr>
              <w:widowControl w:val="0"/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王潇</w:t>
            </w:r>
          </w:p>
        </w:tc>
        <w:tc>
          <w:tcPr>
            <w:tcW w:w="1150" w:type="dxa"/>
            <w:vAlign w:val="top"/>
          </w:tcPr>
          <w:p w14:paraId="650030C3">
            <w:pPr>
              <w:widowControl w:val="0"/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00C90EAB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bookmarkEnd w:id="23"/>
      <w:tr w14:paraId="5B9956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0415F1F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DFB4EDC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94877EC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D325F2B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D2235DD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0FE466CE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54D51C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2566D25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E2FDF43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C4E78BE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C8DC7EF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AC4F37C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707A587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3C8542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122E542A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4E20CA7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B991B7E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FF4F680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0AA542D3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15D8B577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57C5F6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232063F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C9E0E86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3BF45A2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E6682A5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11125D7F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7AB3C2C5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26BBF9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7ADC86DF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09026C8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A5090B6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003E97F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4A25D823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61D3FA8E">
            <w:pPr>
              <w:pStyle w:val="28"/>
              <w:widowControl w:val="0"/>
              <w:rPr>
                <w:rFonts w:hint="eastAsia"/>
              </w:rPr>
            </w:pPr>
          </w:p>
        </w:tc>
      </w:tr>
    </w:tbl>
    <w:p w14:paraId="7CE68323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618B8D42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633D804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_Toc2568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DF92B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_Toc29424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szCs w:val="48"/>
              <w:lang w:eastAsia="zh-CN"/>
            </w:rPr>
            <w:t>陕西华龙制药有限公司SPS产品支持服务项目数据清洗策略实施方案</w:t>
          </w:r>
          <w:r>
            <w:tab/>
          </w:r>
          <w:r>
            <w:fldChar w:fldCharType="begin"/>
          </w:r>
          <w:r>
            <w:instrText xml:space="preserve"> PAGEREF _Toc29424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F190B7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_Toc32383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 </w:t>
          </w:r>
          <w:r>
            <w:rPr>
              <w:lang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_Toc32383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19EBB6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_Toc17836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1.1. </w:t>
          </w:r>
          <w:r>
            <w:rPr>
              <w:lang w:eastAsia="zh-CN"/>
            </w:rPr>
            <w:t>方案目的</w:t>
          </w:r>
          <w:r>
            <w:tab/>
          </w:r>
          <w:r>
            <w:fldChar w:fldCharType="begin"/>
          </w:r>
          <w:r>
            <w:instrText xml:space="preserve"> PAGEREF _Toc17836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92C4AC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_Toc15495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1.2. </w:t>
          </w:r>
          <w:r>
            <w:rPr>
              <w:lang w:eastAsia="zh-CN"/>
            </w:rPr>
            <w:t>编制依据</w:t>
          </w:r>
          <w:r>
            <w:tab/>
          </w:r>
          <w:r>
            <w:fldChar w:fldCharType="begin"/>
          </w:r>
          <w:r>
            <w:instrText xml:space="preserve"> PAGEREF _Toc15495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040468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_Toc5374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1.3. </w:t>
          </w:r>
          <w:r>
            <w:rPr>
              <w:lang w:eastAsia="zh-CN"/>
            </w:rPr>
            <w:t>总体目标</w:t>
          </w:r>
          <w:r>
            <w:tab/>
          </w:r>
          <w:r>
            <w:fldChar w:fldCharType="begin"/>
          </w:r>
          <w:r>
            <w:instrText xml:space="preserve"> PAGEREF _Toc5374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453237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_Toc11763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lang w:eastAsia="zh-CN"/>
            </w:rPr>
            <w:t>数据清洗详细设计</w:t>
          </w:r>
          <w:r>
            <w:tab/>
          </w:r>
          <w:r>
            <w:fldChar w:fldCharType="begin"/>
          </w:r>
          <w:r>
            <w:instrText xml:space="preserve"> PAGEREF _Toc11763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205E80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_Toc12215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2.1. </w:t>
          </w:r>
          <w:r>
            <w:rPr>
              <w:lang w:eastAsia="zh-CN"/>
            </w:rPr>
            <w:t>分域清洗策略</w:t>
          </w:r>
          <w:r>
            <w:tab/>
          </w:r>
          <w:r>
            <w:fldChar w:fldCharType="begin"/>
          </w:r>
          <w:r>
            <w:instrText xml:space="preserve"> PAGEREF _Toc12215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D52E2C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_Toc26990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2.1.1. </w:t>
          </w:r>
          <w:r>
            <w:rPr>
              <w:rFonts w:hint="eastAsia"/>
            </w:rPr>
            <w:t>生产管理数据域</w:t>
          </w:r>
          <w:r>
            <w:tab/>
          </w:r>
          <w:r>
            <w:fldChar w:fldCharType="begin"/>
          </w:r>
          <w:r>
            <w:instrText xml:space="preserve"> PAGEREF _Toc26990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FEAAA1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_Toc20594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2.1.2. </w:t>
          </w:r>
          <w:r>
            <w:rPr>
              <w:rFonts w:hint="eastAsia"/>
            </w:rPr>
            <w:t>库存管理数据域</w:t>
          </w:r>
          <w:r>
            <w:tab/>
          </w:r>
          <w:r>
            <w:fldChar w:fldCharType="begin"/>
          </w:r>
          <w:r>
            <w:instrText xml:space="preserve"> PAGEREF _Toc20594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52BF54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_Toc11101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2.1.3. </w:t>
          </w:r>
          <w:r>
            <w:rPr>
              <w:rFonts w:hint="eastAsia"/>
            </w:rPr>
            <w:t>质量管理数据域</w:t>
          </w:r>
          <w:r>
            <w:tab/>
          </w:r>
          <w:r>
            <w:fldChar w:fldCharType="begin"/>
          </w:r>
          <w:r>
            <w:instrText xml:space="preserve"> PAGEREF _Toc11101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289D97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_Toc17766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2.1.4. </w:t>
          </w:r>
          <w:r>
            <w:rPr>
              <w:rFonts w:hint="eastAsia"/>
            </w:rPr>
            <w:t>财务管理数据域</w:t>
          </w:r>
          <w:r>
            <w:tab/>
          </w:r>
          <w:r>
            <w:fldChar w:fldCharType="begin"/>
          </w:r>
          <w:r>
            <w:instrText xml:space="preserve"> PAGEREF _Toc17766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219FE6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_Toc9945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2.1.5. </w:t>
          </w:r>
          <w:r>
            <w:rPr>
              <w:rFonts w:hint="eastAsia"/>
            </w:rPr>
            <w:t>采购与供应商数据域</w:t>
          </w:r>
          <w:r>
            <w:tab/>
          </w:r>
          <w:r>
            <w:fldChar w:fldCharType="begin"/>
          </w:r>
          <w:r>
            <w:instrText xml:space="preserve"> PAGEREF _Toc9945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6009CE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_Toc9221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2.1.6. </w:t>
          </w:r>
          <w:r>
            <w:rPr>
              <w:rFonts w:hint="eastAsia"/>
            </w:rPr>
            <w:t>系统日志与接口数据域</w:t>
          </w:r>
          <w:r>
            <w:tab/>
          </w:r>
          <w:r>
            <w:fldChar w:fldCharType="begin"/>
          </w:r>
          <w:r>
            <w:instrText xml:space="preserve"> PAGEREF _Toc9221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DB8351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_Toc30562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2.1.7. </w:t>
          </w:r>
          <w:r>
            <w:rPr>
              <w:rFonts w:hint="eastAsia"/>
            </w:rPr>
            <w:t>设备运维数据域</w:t>
          </w:r>
          <w:r>
            <w:tab/>
          </w:r>
          <w:r>
            <w:fldChar w:fldCharType="begin"/>
          </w:r>
          <w:r>
            <w:instrText xml:space="preserve"> PAGEREF _Toc30562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2691D4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_Toc20058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2.2. </w:t>
          </w:r>
          <w:r>
            <w:rPr>
              <w:lang w:eastAsia="zh-CN"/>
            </w:rPr>
            <w:t>技术架构与实施路径</w:t>
          </w:r>
          <w:r>
            <w:tab/>
          </w:r>
          <w:r>
            <w:fldChar w:fldCharType="begin"/>
          </w:r>
          <w:r>
            <w:instrText xml:space="preserve"> PAGEREF _Toc20058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D93E69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_Toc312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 </w:t>
          </w:r>
          <w:r>
            <w:rPr>
              <w:lang w:eastAsia="zh-CN"/>
            </w:rPr>
            <w:t>实施与管理规划</w:t>
          </w:r>
          <w:r>
            <w:tab/>
          </w:r>
          <w:r>
            <w:fldChar w:fldCharType="begin"/>
          </w:r>
          <w:r>
            <w:instrText xml:space="preserve"> PAGEREF _Toc312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7720B1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_Toc126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3.1. </w:t>
          </w:r>
          <w:r>
            <w:rPr>
              <w:lang w:eastAsia="zh-CN"/>
            </w:rPr>
            <w:t>阶段化实施计划</w:t>
          </w:r>
          <w:r>
            <w:tab/>
          </w:r>
          <w:r>
            <w:fldChar w:fldCharType="begin"/>
          </w:r>
          <w:r>
            <w:instrText xml:space="preserve"> PAGEREF _Toc126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D4ACC0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_Toc15746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3.2. </w:t>
          </w:r>
          <w:r>
            <w:rPr>
              <w:lang w:eastAsia="zh-CN"/>
            </w:rPr>
            <w:t>组织与职责分工</w:t>
          </w:r>
          <w:r>
            <w:tab/>
          </w:r>
          <w:r>
            <w:fldChar w:fldCharType="begin"/>
          </w:r>
          <w:r>
            <w:instrText xml:space="preserve"> PAGEREF _Toc15746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6E148A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_Toc3746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3.3. </w:t>
          </w:r>
          <w:r>
            <w:rPr>
              <w:lang w:eastAsia="zh-CN"/>
            </w:rPr>
            <w:t>关键交付物</w:t>
          </w:r>
          <w:r>
            <w:tab/>
          </w:r>
          <w:r>
            <w:fldChar w:fldCharType="begin"/>
          </w:r>
          <w:r>
            <w:instrText xml:space="preserve"> PAGEREF _Toc3746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E58E92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_Toc6316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 </w:t>
          </w:r>
          <w:r>
            <w:rPr>
              <w:lang w:eastAsia="zh-CN"/>
            </w:rPr>
            <w:t>验收标准</w:t>
          </w:r>
          <w:r>
            <w:tab/>
          </w:r>
          <w:r>
            <w:fldChar w:fldCharType="begin"/>
          </w:r>
          <w:r>
            <w:instrText xml:space="preserve"> PAGEREF _Toc6316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4DD196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_Toc128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 </w:t>
          </w:r>
          <w:r>
            <w:rPr>
              <w:lang w:eastAsia="zh-CN"/>
            </w:rPr>
            <w:t>保障措施</w:t>
          </w:r>
          <w:r>
            <w:tab/>
          </w:r>
          <w:r>
            <w:fldChar w:fldCharType="begin"/>
          </w:r>
          <w:r>
            <w:instrText xml:space="preserve"> PAGEREF _Toc128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7CCF38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_Toc31901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6. </w:t>
          </w:r>
          <w:r>
            <w:rPr>
              <w:lang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_Toc31901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36E2B58">
          <w:pPr>
            <w:widowControl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3BB9B951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684998E1">
      <w:pPr>
        <w:pStyle w:val="29"/>
        <w:keepNext w:val="0"/>
        <w:keepLines w:val="0"/>
        <w:widowControl w:val="0"/>
        <w:rPr>
          <w:lang w:eastAsia="zh-CN"/>
        </w:rPr>
      </w:pPr>
      <w:bookmarkStart w:id="2" w:name="_Toc32383"/>
      <w:r>
        <w:rPr>
          <w:lang w:eastAsia="zh-CN"/>
        </w:rPr>
        <w:t>总则</w:t>
      </w:r>
      <w:bookmarkEnd w:id="2"/>
    </w:p>
    <w:p w14:paraId="045CEA0B">
      <w:pPr>
        <w:pStyle w:val="31"/>
        <w:keepNext w:val="0"/>
        <w:keepLines w:val="0"/>
        <w:widowControl w:val="0"/>
        <w:rPr>
          <w:lang w:eastAsia="zh-CN"/>
        </w:rPr>
      </w:pPr>
      <w:bookmarkStart w:id="3" w:name="_Toc17836"/>
      <w:r>
        <w:rPr>
          <w:lang w:eastAsia="zh-CN"/>
        </w:rPr>
        <w:t>方案目的</w:t>
      </w:r>
      <w:bookmarkEnd w:id="3"/>
    </w:p>
    <w:p w14:paraId="2BECAF82">
      <w:pPr>
        <w:pStyle w:val="30"/>
        <w:widowControl w:val="0"/>
        <w:ind w:firstLine="480"/>
        <w:rPr>
          <w:rFonts w:ascii="Arial" w:hAnsi="Arial" w:cs="Arial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保障"陕西华龙制药有限公司SPS产品支持服务项目"的数据质量与系统可靠性，特制定本数据清洗策略方案。本方案旨在系统性地规划与设计数据清洗工作，确保源自生产管理、库存管理、财务管理等业务系统的多源数据，在汇入核心平台前具备准确、完整、一致、及时的质量特征，从而支撑上层业务应用实现预期价值。</w:t>
      </w:r>
    </w:p>
    <w:p w14:paraId="25BE6E84">
      <w:pPr>
        <w:pStyle w:val="31"/>
        <w:keepNext w:val="0"/>
        <w:keepLines w:val="0"/>
        <w:widowControl w:val="0"/>
        <w:rPr>
          <w:lang w:eastAsia="zh-CN"/>
        </w:rPr>
      </w:pPr>
      <w:bookmarkStart w:id="4" w:name="_Toc15495"/>
      <w:r>
        <w:rPr>
          <w:lang w:eastAsia="zh-CN"/>
        </w:rPr>
        <w:t>编制依据</w:t>
      </w:r>
      <w:bookmarkEnd w:id="4"/>
    </w:p>
    <w:p w14:paraId="7B779EE3">
      <w:pPr>
        <w:pStyle w:val="30"/>
        <w:widowControl w:val="0"/>
        <w:ind w:firstLine="48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本方案严格遵循《陕西华龙制药有限公司SPS产品支持服务项目数据清洗策略需求分析报告》中提出的核心业务目标、质量要求与管理流程需求，是指导项目数据清洗工作实施的纲领性文件。</w:t>
      </w:r>
    </w:p>
    <w:p w14:paraId="1C18DEC6">
      <w:pPr>
        <w:pStyle w:val="31"/>
        <w:keepNext w:val="0"/>
        <w:keepLines w:val="0"/>
        <w:widowControl w:val="0"/>
        <w:rPr>
          <w:lang w:eastAsia="zh-CN"/>
        </w:rPr>
      </w:pPr>
      <w:bookmarkStart w:id="5" w:name="_Toc5374"/>
      <w:r>
        <w:rPr>
          <w:lang w:eastAsia="zh-CN"/>
        </w:rPr>
        <w:t>总体目标</w:t>
      </w:r>
      <w:bookmarkEnd w:id="5"/>
    </w:p>
    <w:p w14:paraId="2ABF2711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本方案致力于达成三大目标：</w:t>
      </w:r>
    </w:p>
    <w:p w14:paraId="02CF2C9B">
      <w:pPr>
        <w:pStyle w:val="30"/>
        <w:widowControl w:val="0"/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达成预设的数据质量关键绩效指标，满足制药企业生产、库存、财务等核心业务的准确性要求；</w:t>
      </w:r>
    </w:p>
    <w:p w14:paraId="48270BFF">
      <w:pPr>
        <w:pStyle w:val="30"/>
        <w:widowControl w:val="0"/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建立一套权责清晰、流程可控、持续改进的数据质量管理闭环；</w:t>
      </w:r>
    </w:p>
    <w:p w14:paraId="433BEE4B">
      <w:pPr>
        <w:pStyle w:val="30"/>
        <w:widowControl w:val="0"/>
        <w:numPr>
          <w:ilvl w:val="0"/>
          <w:numId w:val="2"/>
        </w:numPr>
        <w:ind w:left="425" w:leftChars="0" w:hanging="425" w:firstLineChars="0"/>
      </w:pPr>
      <w:r>
        <w:rPr>
          <w:rFonts w:hint="eastAsia"/>
        </w:rPr>
        <w:t>交付高质量的数据资产及配套的治理能力，确保项目长效运营。</w:t>
      </w:r>
    </w:p>
    <w:p w14:paraId="7F422C0F">
      <w:pPr>
        <w:pStyle w:val="29"/>
        <w:keepNext w:val="0"/>
        <w:keepLines w:val="0"/>
        <w:widowControl w:val="0"/>
        <w:rPr>
          <w:lang w:eastAsia="zh-CN"/>
        </w:rPr>
      </w:pPr>
      <w:bookmarkStart w:id="6" w:name="_Toc11763"/>
      <w:r>
        <w:rPr>
          <w:lang w:eastAsia="zh-CN"/>
        </w:rPr>
        <w:t>数据清洗详细设计</w:t>
      </w:r>
      <w:bookmarkEnd w:id="6"/>
    </w:p>
    <w:p w14:paraId="5709CADF">
      <w:pPr>
        <w:pStyle w:val="31"/>
        <w:keepNext w:val="0"/>
        <w:keepLines w:val="0"/>
        <w:widowControl w:val="0"/>
        <w:rPr>
          <w:lang w:eastAsia="zh-CN"/>
        </w:rPr>
      </w:pPr>
      <w:bookmarkStart w:id="7" w:name="_Toc12215"/>
      <w:r>
        <w:rPr>
          <w:lang w:eastAsia="zh-CN"/>
        </w:rPr>
        <w:t>分域清洗策略</w:t>
      </w:r>
      <w:bookmarkEnd w:id="7"/>
    </w:p>
    <w:p w14:paraId="38809BB9">
      <w:pPr>
        <w:pStyle w:val="30"/>
        <w:widowControl w:val="0"/>
        <w:ind w:firstLine="480"/>
      </w:pPr>
      <w:r>
        <w:t>针对项目四大数据域的特征，实施差异化清洗。</w:t>
      </w:r>
    </w:p>
    <w:p w14:paraId="2C0807EB">
      <w:pPr>
        <w:pStyle w:val="32"/>
        <w:bidi w:val="0"/>
        <w:rPr>
          <w:rFonts w:hint="eastAsia"/>
        </w:rPr>
      </w:pPr>
      <w:bookmarkStart w:id="8" w:name="_Toc26990"/>
      <w:r>
        <w:rPr>
          <w:rFonts w:hint="eastAsia"/>
        </w:rPr>
        <w:t>生产管理数据域</w:t>
      </w:r>
      <w:bookmarkEnd w:id="8"/>
    </w:p>
    <w:p w14:paraId="3D50AF5F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本域数据主要来源于生产工单、工艺路线、BOM表、生产日报等，核心问题在于数据关联复杂、版本混乱及记录缺失。</w:t>
      </w:r>
    </w:p>
    <w:p w14:paraId="0F067D3E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清洗策略包括：</w:t>
      </w:r>
    </w:p>
    <w:p w14:paraId="6747D99D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建立工单状态与生产工序的关联校验规则，识别并标记状态冲突的异常工单（如已完工工单仍有未完成工序）</w:t>
      </w:r>
    </w:p>
    <w:p w14:paraId="015A813B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对BOM表进行版本一致性检查，确保生产用料与实际BOM版本一致，标记版本冲突的异常记录</w:t>
      </w:r>
    </w:p>
    <w:p w14:paraId="0B98DA42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对生产日报中的关键字段（产量、工时、合格率）进行完整性校验，缺失数据及时告警并触发补录流程</w:t>
      </w:r>
    </w:p>
    <w:p w14:paraId="40B326F1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建立生产时间逻辑校验，确保投料时间、完工时间、质检时间的先后顺序合理</w:t>
      </w:r>
    </w:p>
    <w:p w14:paraId="7B00D746">
      <w:pPr>
        <w:pStyle w:val="32"/>
        <w:bidi w:val="0"/>
        <w:rPr>
          <w:rFonts w:hint="eastAsia"/>
        </w:rPr>
      </w:pPr>
      <w:bookmarkStart w:id="9" w:name="_Toc20594"/>
      <w:r>
        <w:rPr>
          <w:rFonts w:hint="eastAsia"/>
        </w:rPr>
        <w:t>库存管理数据域</w:t>
      </w:r>
      <w:bookmarkEnd w:id="9"/>
    </w:p>
    <w:p w14:paraId="61D4E4BA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本域数据包括出入库记录、库存台账、盘点数据、库龄分析等，主要存在负库存、计量单位不一致、批次号错误等问题。</w:t>
      </w:r>
    </w:p>
    <w:p w14:paraId="7020DF93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清洗策略包括：</w:t>
      </w:r>
    </w:p>
    <w:p w14:paraId="7FFBA972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建立库存异动逻辑校验规则，实时检测负库存并触发告警，同时标记异常记录</w:t>
      </w:r>
    </w:p>
    <w:p w14:paraId="47F3CA45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统一物料计量单位转换规则，对不同单位（如"箱"与"盒"）的出入库记录进行标准化转换</w:t>
      </w:r>
    </w:p>
    <w:p w14:paraId="6313C4E2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对批次号进行格式校验，不符合GMP规范的批次号自动标记并推送至人工复核</w:t>
      </w:r>
    </w:p>
    <w:p w14:paraId="068F5499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建立库存盘点差异分析机制，对盘点数据与实际库存的异常偏差进行识别和标记</w:t>
      </w:r>
    </w:p>
    <w:p w14:paraId="52396837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对库龄数据进行合理性检查，超出有效期的库存自动预警</w:t>
      </w:r>
    </w:p>
    <w:p w14:paraId="252104A1">
      <w:pPr>
        <w:pStyle w:val="32"/>
        <w:bidi w:val="0"/>
        <w:rPr>
          <w:rFonts w:hint="eastAsia"/>
        </w:rPr>
      </w:pPr>
      <w:bookmarkStart w:id="10" w:name="_Toc11101"/>
      <w:r>
        <w:rPr>
          <w:rFonts w:hint="eastAsia"/>
        </w:rPr>
        <w:t>质量管理数据域</w:t>
      </w:r>
      <w:bookmarkEnd w:id="10"/>
    </w:p>
    <w:p w14:paraId="48B0AA24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本域数据包括质检报告、合格率统计、质量异常记录、GMP相关文档等，数据敏感性高，存在检验标准不一致、记录不完整、有效期计算错误等问题。</w:t>
      </w:r>
    </w:p>
    <w:p w14:paraId="6A2D9161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清洗策略包括：</w:t>
      </w:r>
    </w:p>
    <w:p w14:paraId="06FAE916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建立质检标准与检验结果的匹配校验，确保检验项目与标准要求一致</w:t>
      </w:r>
    </w:p>
    <w:p w14:paraId="50BC3170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对质检记录的关键字段（检验批次、检验项目、检验结果）进行完整性校验</w:t>
      </w:r>
    </w:p>
    <w:p w14:paraId="3D72642A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对有效期数据进行自动计算和校验，确保生产日期、有效期、复检期逻辑正确</w:t>
      </w:r>
    </w:p>
    <w:p w14:paraId="707545F1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对质量异常记录进行分类归集，异常等级自动标记</w:t>
      </w:r>
    </w:p>
    <w:p w14:paraId="24164066">
      <w:pPr>
        <w:pStyle w:val="32"/>
        <w:bidi w:val="0"/>
        <w:rPr>
          <w:rFonts w:hint="eastAsia"/>
        </w:rPr>
      </w:pPr>
      <w:bookmarkStart w:id="11" w:name="_Toc17766"/>
      <w:r>
        <w:rPr>
          <w:rFonts w:hint="eastAsia"/>
        </w:rPr>
        <w:t>财务管理数据域</w:t>
      </w:r>
      <w:bookmarkEnd w:id="11"/>
    </w:p>
    <w:p w14:paraId="28BA1AD1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本域数据包括凭证记录、成本核算、应收应付、财务报表等，数据准确性要求极高，存在科目编码错误、借贷不平、凭证日期混乱等风险。</w:t>
      </w:r>
    </w:p>
    <w:p w14:paraId="58F048C7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清洗策略包括：</w:t>
      </w:r>
    </w:p>
    <w:p w14:paraId="0176CCEF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建立凭证借贷平衡校验规则，不平凭证自动拦截并通知财务人员</w:t>
      </w:r>
    </w:p>
    <w:p w14:paraId="12A55D7E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对科目编码进行对照校验，确保编码与科目名称一致，不一致的自动映射或标记</w:t>
      </w:r>
    </w:p>
    <w:p w14:paraId="424E4C36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对凭证日期进行合理性检查，超出当前会计期间的凭证标记异常</w:t>
      </w:r>
    </w:p>
    <w:p w14:paraId="2A2D77B1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建立金额合理性校验，对大额异常交易、负金额等特殊情况进行识别</w:t>
      </w:r>
    </w:p>
    <w:p w14:paraId="4A03A513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对成本核算数据进行逻辑校验，确保生产成本、制造费用分摊合理</w:t>
      </w:r>
    </w:p>
    <w:p w14:paraId="2C506396">
      <w:pPr>
        <w:pStyle w:val="32"/>
        <w:bidi w:val="0"/>
        <w:rPr>
          <w:rFonts w:hint="eastAsia"/>
        </w:rPr>
      </w:pPr>
      <w:bookmarkStart w:id="12" w:name="_Toc9945"/>
      <w:r>
        <w:rPr>
          <w:rFonts w:hint="eastAsia"/>
        </w:rPr>
        <w:t>采购与供应商数据域</w:t>
      </w:r>
      <w:bookmarkEnd w:id="12"/>
    </w:p>
    <w:p w14:paraId="4C9D4014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本域数据包括采购订单、供应商档案、到货记录、应付账款等，存在供应商信息重复、采购价格异常、到货日期与订单不符等问题。</w:t>
      </w:r>
    </w:p>
    <w:p w14:paraId="30367844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清洗策略包括：</w:t>
      </w:r>
    </w:p>
    <w:p w14:paraId="57480ECD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建立供应商主数据去重机制，基于统一社会信用代码、名称等关键字段识别重复记录</w:t>
      </w:r>
    </w:p>
    <w:p w14:paraId="4C169969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对采购价格进行合理性校验，与历史均价、市场参考价对比，异常价格标记</w:t>
      </w:r>
    </w:p>
    <w:p w14:paraId="5559FDC2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建立到货日期与订单日期的逻辑校验，确保到货不早于下单日期</w:t>
      </w:r>
    </w:p>
    <w:p w14:paraId="23648255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对供应商资质有效期进行监控，临近过期自动预警</w:t>
      </w:r>
    </w:p>
    <w:p w14:paraId="22405E86">
      <w:pPr>
        <w:pStyle w:val="32"/>
        <w:bidi w:val="0"/>
        <w:rPr>
          <w:rFonts w:hint="eastAsia"/>
        </w:rPr>
      </w:pPr>
      <w:bookmarkStart w:id="13" w:name="_Toc9221"/>
      <w:r>
        <w:rPr>
          <w:rFonts w:hint="eastAsia"/>
        </w:rPr>
        <w:t>系统日志与接口数据域</w:t>
      </w:r>
      <w:bookmarkEnd w:id="13"/>
    </w:p>
    <w:p w14:paraId="2F4A37D0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本域数据来自各系统接口日志、数据库日志、用户操作日志等，数据体量大，关键告警易被淹没。</w:t>
      </w:r>
    </w:p>
    <w:p w14:paraId="4FD0D74D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清洗策略包括：</w:t>
      </w:r>
    </w:p>
    <w:p w14:paraId="04DB8565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制定统一的日志解析规范，准确提取时间、接口名称、错误码、操作人等关键字段</w:t>
      </w:r>
    </w:p>
    <w:p w14:paraId="0D39829A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建立规则引擎，从海量日志中实时过滤并归类错误、警告等关键事件</w:t>
      </w:r>
    </w:p>
    <w:p w14:paraId="093B82C7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对接口调用失败、超时等异常情况进行统计和告警</w:t>
      </w:r>
    </w:p>
    <w:p w14:paraId="08382917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对用户异常操作（如多次登录失败、非工作时间操作）</w:t>
      </w:r>
    </w:p>
    <w:p w14:paraId="25113C30">
      <w:pPr>
        <w:pStyle w:val="32"/>
        <w:bidi w:val="0"/>
        <w:rPr>
          <w:rFonts w:hint="eastAsia"/>
        </w:rPr>
      </w:pPr>
      <w:bookmarkStart w:id="14" w:name="_Toc30562"/>
      <w:r>
        <w:rPr>
          <w:rFonts w:hint="eastAsia"/>
        </w:rPr>
        <w:t>设备运维数据域</w:t>
      </w:r>
      <w:bookmarkEnd w:id="14"/>
    </w:p>
    <w:p w14:paraId="19FAA572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本域数据包括设备台账、维修记录、保养计划、故障报修等，数据格式多样，存在设备编码不统一、维修记录缺失、保养计划逾期未执行等问题。</w:t>
      </w:r>
    </w:p>
    <w:p w14:paraId="225951F4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清洗策略包括：</w:t>
      </w:r>
    </w:p>
    <w:p w14:paraId="235BB841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建立设备主数据统一编码规范，确保同一设备在不同系统中的编码一致</w:t>
      </w:r>
    </w:p>
    <w:p w14:paraId="4E18191D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对维修记录的关键字段（设备编码、故障现象、维修措施、维修时间）进行完整性校验</w:t>
      </w:r>
    </w:p>
    <w:p w14:paraId="5BE77586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建立保养计划执行情况跟踪机制，对逾期未执行的保养计划自动预警</w:t>
      </w:r>
    </w:p>
    <w:p w14:paraId="1CA00072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对设备故障数据进行分类统计，识别高频故障设备，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为预防性维护和设备更新提供数据支持</w:t>
      </w:r>
    </w:p>
    <w:p w14:paraId="298E087A">
      <w:pPr>
        <w:pStyle w:val="31"/>
        <w:keepNext w:val="0"/>
        <w:keepLines w:val="0"/>
        <w:widowControl w:val="0"/>
        <w:rPr>
          <w:lang w:eastAsia="zh-CN"/>
        </w:rPr>
      </w:pPr>
      <w:bookmarkStart w:id="15" w:name="_Toc20058"/>
      <w:r>
        <w:rPr>
          <w:lang w:eastAsia="zh-CN"/>
        </w:rPr>
        <w:t>技术架构与实施路径</w:t>
      </w:r>
      <w:bookmarkEnd w:id="15"/>
    </w:p>
    <w:p w14:paraId="7FD6EA94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采用"ETL批量清洗+实时校验"的混合架构：</w:t>
      </w:r>
    </w:p>
    <w:p w14:paraId="6D749412">
      <w:pPr>
        <w:pStyle w:val="30"/>
        <w:widowControl w:val="0"/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批量清洗：使用Kettle/DataX等ETL工具，对生产、库存、财务等核心业务数据进行定时批量清洗，执行数据标准化、去重、补全等操作</w:t>
      </w:r>
    </w:p>
    <w:p w14:paraId="241BFA9E">
      <w:pPr>
        <w:pStyle w:val="30"/>
        <w:widowControl w:val="0"/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实时校验：在数据接入层部署轻量级校验规则，对关键业务数据（如出入库、凭证录入）进行实时完整性校验</w:t>
      </w:r>
    </w:p>
    <w:p w14:paraId="04648D43">
      <w:pPr>
        <w:pStyle w:val="30"/>
        <w:widowControl w:val="0"/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任务调度：通过Apache Airflow进行清洗任务调度，管理依赖关系和执行顺序</w:t>
      </w:r>
    </w:p>
    <w:p w14:paraId="61CB6F50">
      <w:pPr>
        <w:pStyle w:val="30"/>
        <w:widowControl w:val="0"/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监控看板：利用Grafana配置数据质量KPI看板，实时监控各项指标达成情况</w:t>
      </w:r>
    </w:p>
    <w:p w14:paraId="4140EA1E">
      <w:pPr>
        <w:pStyle w:val="30"/>
        <w:widowControl w:val="0"/>
        <w:numPr>
          <w:ilvl w:val="0"/>
          <w:numId w:val="3"/>
        </w:numPr>
        <w:ind w:left="425" w:leftChars="0" w:hanging="425" w:firstLineChars="0"/>
      </w:pPr>
      <w:r>
        <w:rPr>
          <w:rFonts w:hint="eastAsia"/>
        </w:rPr>
        <w:t>规则配置：清洗规则力求实现配置化管理，通过配置文件或规则引擎驱动，提升可维护性</w:t>
      </w:r>
    </w:p>
    <w:p w14:paraId="03DA3A9B">
      <w:pPr>
        <w:pStyle w:val="29"/>
        <w:keepNext w:val="0"/>
        <w:keepLines w:val="0"/>
        <w:widowControl w:val="0"/>
        <w:rPr>
          <w:lang w:eastAsia="zh-CN"/>
        </w:rPr>
      </w:pPr>
      <w:bookmarkStart w:id="16" w:name="_Toc312"/>
      <w:r>
        <w:rPr>
          <w:lang w:eastAsia="zh-CN"/>
        </w:rPr>
        <w:t>实施与管理规划</w:t>
      </w:r>
      <w:bookmarkEnd w:id="16"/>
    </w:p>
    <w:p w14:paraId="656D86E8">
      <w:pPr>
        <w:pStyle w:val="31"/>
        <w:keepNext w:val="0"/>
        <w:keepLines w:val="0"/>
        <w:widowControl w:val="0"/>
        <w:rPr>
          <w:lang w:eastAsia="zh-CN"/>
        </w:rPr>
      </w:pPr>
      <w:bookmarkStart w:id="17" w:name="_Toc126"/>
      <w:r>
        <w:rPr>
          <w:lang w:eastAsia="zh-CN"/>
        </w:rPr>
        <w:t>阶段化实施计划</w:t>
      </w:r>
      <w:bookmarkEnd w:id="17"/>
    </w:p>
    <w:p w14:paraId="3702809F">
      <w:pPr>
        <w:pStyle w:val="30"/>
        <w:widowControl w:val="0"/>
        <w:ind w:firstLine="480"/>
      </w:pPr>
      <w:r>
        <w:t>数据清洗工作将完全融入项目90天的总建设周期，分四阶段推进。</w:t>
      </w:r>
    </w:p>
    <w:p w14:paraId="46D7C33F">
      <w:pPr>
        <w:pStyle w:val="30"/>
        <w:widowControl w:val="0"/>
        <w:ind w:firstLine="480"/>
      </w:pPr>
      <w:r>
        <w:t>第一阶段（第1-30天）：规则设计与开发。完成各数据域清洗规则的详细设计、评审与核心代码开发。</w:t>
      </w:r>
    </w:p>
    <w:p w14:paraId="29777B3B">
      <w:pPr>
        <w:pStyle w:val="30"/>
        <w:widowControl w:val="0"/>
        <w:ind w:firstLine="480"/>
      </w:pPr>
      <w:r>
        <w:t>第二阶段（第31-60天）：集成联调与试运行。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与各业务系统对接联调</w:t>
      </w:r>
      <w:r>
        <w:t>，利用模拟或历史数据进行全流程试运行并优化。</w:t>
      </w:r>
    </w:p>
    <w:p w14:paraId="6A3175FF">
      <w:pPr>
        <w:pStyle w:val="30"/>
        <w:widowControl w:val="0"/>
        <w:ind w:firstLine="480"/>
      </w:pPr>
      <w:r>
        <w:t>第三阶段（第61-75天）：全量上线与监控。随系统正式上线启动全量数据清洗，并开启全天候质量监控。</w:t>
      </w:r>
    </w:p>
    <w:p w14:paraId="1C6DBA4E">
      <w:pPr>
        <w:pStyle w:val="30"/>
        <w:widowControl w:val="0"/>
        <w:ind w:firstLine="480"/>
      </w:pPr>
      <w:r>
        <w:t>第四阶段（第76-90天）：验收与交付。进行稳定性考核，输出最终质量报告，完成专项验收。</w:t>
      </w:r>
    </w:p>
    <w:p w14:paraId="789B8D85">
      <w:pPr>
        <w:pStyle w:val="31"/>
        <w:keepNext w:val="0"/>
        <w:keepLines w:val="0"/>
        <w:widowControl w:val="0"/>
        <w:rPr>
          <w:lang w:eastAsia="zh-CN"/>
        </w:rPr>
      </w:pPr>
      <w:bookmarkStart w:id="18" w:name="_Toc15746"/>
      <w:r>
        <w:rPr>
          <w:lang w:eastAsia="zh-CN"/>
        </w:rPr>
        <w:t>组织与职责分工</w:t>
      </w:r>
      <w:bookmarkEnd w:id="18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3"/>
        <w:gridCol w:w="1600"/>
        <w:gridCol w:w="5379"/>
      </w:tblGrid>
      <w:tr w14:paraId="69EAC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4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48F10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角色</w:t>
            </w:r>
          </w:p>
        </w:tc>
        <w:tc>
          <w:tcPr>
            <w:tcW w:w="16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61A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单位</w:t>
            </w:r>
          </w:p>
        </w:tc>
        <w:tc>
          <w:tcPr>
            <w:tcW w:w="537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BBB2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职责</w:t>
            </w:r>
          </w:p>
        </w:tc>
      </w:tr>
      <w:tr w14:paraId="0C37D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1F6A9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甲方业务负责人</w:t>
            </w:r>
          </w:p>
        </w:tc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257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陕西华龙制药</w:t>
            </w:r>
          </w:p>
        </w:tc>
        <w:tc>
          <w:tcPr>
            <w:tcW w:w="53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BD9CA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负责清洗规则所涉及业务逻辑的最终评审与确认；参与验收测试</w:t>
            </w:r>
          </w:p>
        </w:tc>
      </w:tr>
      <w:tr w14:paraId="05564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007B5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甲方技术负责人</w:t>
            </w:r>
          </w:p>
        </w:tc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9334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陕西华龙制药</w:t>
            </w:r>
          </w:p>
        </w:tc>
        <w:tc>
          <w:tcPr>
            <w:tcW w:w="53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DF244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负责本方案及技术交付物的评审；监督实施质量与进度</w:t>
            </w:r>
          </w:p>
        </w:tc>
      </w:tr>
      <w:tr w14:paraId="7FACD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D5494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乙方项目经理</w:t>
            </w:r>
          </w:p>
        </w:tc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1F7D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益利德</w:t>
            </w:r>
          </w:p>
        </w:tc>
        <w:tc>
          <w:tcPr>
            <w:tcW w:w="53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440BA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负责方案整体推进，协调资源，定期汇报进展</w:t>
            </w:r>
          </w:p>
        </w:tc>
      </w:tr>
      <w:tr w14:paraId="693E4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78EB1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乙方数据工程师</w:t>
            </w:r>
          </w:p>
        </w:tc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6DD5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益利德</w:t>
            </w:r>
          </w:p>
        </w:tc>
        <w:tc>
          <w:tcPr>
            <w:tcW w:w="53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613BA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负责清洗规则的详细设计、代码开发、测试部署</w:t>
            </w:r>
          </w:p>
        </w:tc>
      </w:tr>
      <w:tr w14:paraId="5B30D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4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E9F88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双方联合验收组</w:t>
            </w:r>
          </w:p>
        </w:tc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7387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双方</w:t>
            </w:r>
          </w:p>
        </w:tc>
        <w:tc>
          <w:tcPr>
            <w:tcW w:w="537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65D2F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负责最终验收测试，确认KPI达成情况</w:t>
            </w:r>
          </w:p>
        </w:tc>
      </w:tr>
    </w:tbl>
    <w:p w14:paraId="595C25A5">
      <w:pPr>
        <w:pStyle w:val="31"/>
        <w:keepNext w:val="0"/>
        <w:keepLines w:val="0"/>
        <w:widowControl w:val="0"/>
        <w:rPr>
          <w:lang w:eastAsia="zh-CN"/>
        </w:rPr>
      </w:pPr>
      <w:bookmarkStart w:id="19" w:name="_Toc3746"/>
      <w:r>
        <w:rPr>
          <w:lang w:eastAsia="zh-CN"/>
        </w:rPr>
        <w:t>关键交付物</w:t>
      </w:r>
      <w:bookmarkEnd w:id="19"/>
    </w:p>
    <w:p w14:paraId="16C8D4E3">
      <w:pPr>
        <w:pStyle w:val="30"/>
        <w:widowControl w:val="0"/>
        <w:ind w:firstLine="480"/>
      </w:pPr>
      <w:r>
        <w:t>实施方需按阶段提交以下交付物：</w:t>
      </w:r>
    </w:p>
    <w:p w14:paraId="6F6BC3E9">
      <w:pPr>
        <w:pStyle w:val="30"/>
        <w:widowControl w:val="0"/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《详细数据清洗规则设计说明书》</w:t>
      </w:r>
    </w:p>
    <w:p w14:paraId="038F10F4">
      <w:pPr>
        <w:pStyle w:val="30"/>
        <w:widowControl w:val="0"/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《数据清洗模块测试报告》</w:t>
      </w:r>
    </w:p>
    <w:p w14:paraId="37E303E5">
      <w:pPr>
        <w:pStyle w:val="30"/>
        <w:widowControl w:val="0"/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《数据质量监控平台操作手册》</w:t>
      </w:r>
    </w:p>
    <w:p w14:paraId="49746A27">
      <w:pPr>
        <w:pStyle w:val="30"/>
        <w:widowControl w:val="0"/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《周期性数据质量分析报告》</w:t>
      </w:r>
    </w:p>
    <w:p w14:paraId="50468930">
      <w:pPr>
        <w:pStyle w:val="30"/>
        <w:widowControl w:val="0"/>
        <w:numPr>
          <w:ilvl w:val="0"/>
          <w:numId w:val="4"/>
        </w:numPr>
        <w:ind w:left="425" w:leftChars="0" w:hanging="425" w:firstLineChars="0"/>
      </w:pPr>
      <w:r>
        <w:rPr>
          <w:rFonts w:hint="eastAsia"/>
        </w:rPr>
        <w:t>《数据清洗专项竣工报告》</w:t>
      </w:r>
    </w:p>
    <w:p w14:paraId="3ABE09AC">
      <w:pPr>
        <w:pStyle w:val="30"/>
        <w:widowControl w:val="0"/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《数据清洗规则库》</w:t>
      </w:r>
    </w:p>
    <w:p w14:paraId="4F6EADF1">
      <w:pPr>
        <w:pStyle w:val="30"/>
        <w:widowControl w:val="0"/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《数据质量日报/周报》</w:t>
      </w:r>
    </w:p>
    <w:p w14:paraId="0BE6A3AF">
      <w:pPr>
        <w:pStyle w:val="30"/>
        <w:widowControl w:val="0"/>
        <w:numPr>
          <w:ilvl w:val="0"/>
          <w:numId w:val="4"/>
        </w:numPr>
        <w:ind w:left="425" w:leftChars="0" w:hanging="425" w:firstLineChars="0"/>
      </w:pPr>
      <w:r>
        <w:rPr>
          <w:rFonts w:hint="eastAsia"/>
        </w:rPr>
        <w:t>《清洗过程审计日志》</w:t>
      </w:r>
    </w:p>
    <w:p w14:paraId="57693DE3">
      <w:pPr>
        <w:pStyle w:val="29"/>
        <w:keepNext w:val="0"/>
        <w:keepLines w:val="0"/>
        <w:widowControl w:val="0"/>
        <w:rPr>
          <w:lang w:eastAsia="zh-CN"/>
        </w:rPr>
      </w:pPr>
      <w:bookmarkStart w:id="20" w:name="_Toc6316"/>
      <w:r>
        <w:rPr>
          <w:lang w:eastAsia="zh-CN"/>
        </w:rPr>
        <w:t>验收标准</w:t>
      </w:r>
      <w:bookmarkEnd w:id="20"/>
    </w:p>
    <w:p w14:paraId="453353E1">
      <w:pPr>
        <w:pStyle w:val="30"/>
        <w:widowControl w:val="0"/>
        <w:ind w:firstLine="480"/>
      </w:pPr>
      <w:r>
        <w:t>数据清洗工作的验收以可量化、可验证的关键绩效指标为核心标准。在项目最终验收前，需提供连续15天的稳定运行数据，证明以下核心指标已持续达标：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2"/>
        <w:gridCol w:w="5237"/>
        <w:gridCol w:w="1653"/>
      </w:tblGrid>
      <w:tr w14:paraId="26EBC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3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84E457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指标类别</w:t>
            </w:r>
          </w:p>
        </w:tc>
        <w:tc>
          <w:tcPr>
            <w:tcW w:w="52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8E0B1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验收标准</w:t>
            </w:r>
          </w:p>
        </w:tc>
        <w:tc>
          <w:tcPr>
            <w:tcW w:w="165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A68B3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数据来源</w:t>
            </w:r>
          </w:p>
        </w:tc>
      </w:tr>
      <w:tr w14:paraId="4E92B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3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98EAE9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清洗有效性</w:t>
            </w:r>
          </w:p>
        </w:tc>
        <w:tc>
          <w:tcPr>
            <w:tcW w:w="52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D78B4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核心业务字段填充率 ≥ 99%</w:t>
            </w:r>
          </w:p>
        </w:tc>
        <w:tc>
          <w:tcPr>
            <w:tcW w:w="16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FFA8A2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系统统计</w:t>
            </w:r>
          </w:p>
        </w:tc>
      </w:tr>
      <w:tr w14:paraId="2185E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3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C7C34F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清洗有效性</w:t>
            </w:r>
          </w:p>
        </w:tc>
        <w:tc>
          <w:tcPr>
            <w:tcW w:w="52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E30F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关键业务数据准确率 ≥ 95%</w:t>
            </w:r>
          </w:p>
        </w:tc>
        <w:tc>
          <w:tcPr>
            <w:tcW w:w="16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94089C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抽样复核</w:t>
            </w:r>
          </w:p>
        </w:tc>
      </w:tr>
      <w:tr w14:paraId="06B6E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3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3A00AA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处理时效性</w:t>
            </w:r>
          </w:p>
        </w:tc>
        <w:tc>
          <w:tcPr>
            <w:tcW w:w="52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0F2D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95%的数据记录端到端清洗延迟 ≤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秒</w:t>
            </w:r>
          </w:p>
        </w:tc>
        <w:tc>
          <w:tcPr>
            <w:tcW w:w="16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E64FE0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监控平台</w:t>
            </w:r>
          </w:p>
        </w:tc>
      </w:tr>
      <w:tr w14:paraId="6BA3F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3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A40B0B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系统可靠性</w:t>
            </w:r>
          </w:p>
        </w:tc>
        <w:tc>
          <w:tcPr>
            <w:tcW w:w="52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B057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数据清洗任务执行成功率 ≥ 99.9%</w:t>
            </w:r>
          </w:p>
        </w:tc>
        <w:tc>
          <w:tcPr>
            <w:tcW w:w="16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1BB7F2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Airflow日志</w:t>
            </w:r>
          </w:p>
        </w:tc>
      </w:tr>
      <w:tr w14:paraId="5C307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3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3580C8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过程可追溯</w:t>
            </w:r>
          </w:p>
        </w:tc>
        <w:tc>
          <w:tcPr>
            <w:tcW w:w="5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831DF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清洗过程日志完整率 100%</w:t>
            </w:r>
          </w:p>
        </w:tc>
        <w:tc>
          <w:tcPr>
            <w:tcW w:w="16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412B9A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日志审计</w:t>
            </w:r>
          </w:p>
        </w:tc>
      </w:tr>
      <w:tr w14:paraId="32B48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3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70B5FF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流程可管理性</w:t>
            </w:r>
          </w:p>
        </w:tc>
        <w:tc>
          <w:tcPr>
            <w:tcW w:w="52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52541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80%以上清洗规则可通过配置界面管理</w:t>
            </w:r>
          </w:p>
        </w:tc>
        <w:tc>
          <w:tcPr>
            <w:tcW w:w="16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FB897C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系统验证</w:t>
            </w:r>
          </w:p>
        </w:tc>
      </w:tr>
    </w:tbl>
    <w:p w14:paraId="6CCC588A">
      <w:pPr>
        <w:pStyle w:val="29"/>
        <w:keepNext w:val="0"/>
        <w:keepLines w:val="0"/>
        <w:widowControl w:val="0"/>
        <w:rPr>
          <w:lang w:eastAsia="zh-CN"/>
        </w:rPr>
      </w:pPr>
      <w:bookmarkStart w:id="21" w:name="_Toc128"/>
      <w:r>
        <w:rPr>
          <w:lang w:eastAsia="zh-CN"/>
        </w:rPr>
        <w:t>保障措施</w:t>
      </w:r>
      <w:bookmarkEnd w:id="21"/>
    </w:p>
    <w:p w14:paraId="451A865D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规则变更管理：为应对业务规则变化，建立《数据清洗规则变更管理流程》，任何清洗规则的变更需经甲方业务负责人书面审批，并在测试环境验证后方可上线。</w:t>
      </w:r>
    </w:p>
    <w:p w14:paraId="2EAF5152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数据可追溯：所有数据处理环节必须记录完整的数据血缘日志，确保从清洗后数据可追溯到原始数据，满足GMP审计要求。</w:t>
      </w:r>
    </w:p>
    <w:p w14:paraId="1C359504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性能保障：清洗平台需通过高于当前数据峰值50%的压力测试，确保业务增长期仍能稳定运行。</w:t>
      </w:r>
    </w:p>
    <w:p w14:paraId="7BF6DF06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沟通机制：建立双周数据质量例会制度，由双方项目组共同参与，及时同步问题、评审报告并决策优化方向。</w:t>
      </w:r>
    </w:p>
    <w:p w14:paraId="74FC33D9">
      <w:pPr>
        <w:pStyle w:val="30"/>
        <w:widowControl w:val="0"/>
        <w:ind w:firstLine="480"/>
      </w:pPr>
      <w:r>
        <w:rPr>
          <w:rFonts w:hint="eastAsia"/>
        </w:rPr>
        <w:t>应急预案：制定清洗系统故障应急预案，明确故障发现、上报、处置、恢复的完整流程，确保故障发生时业务影响最小化。</w:t>
      </w:r>
    </w:p>
    <w:p w14:paraId="0F279A6B">
      <w:pPr>
        <w:pStyle w:val="29"/>
        <w:keepNext w:val="0"/>
        <w:keepLines w:val="0"/>
        <w:widowControl w:val="0"/>
        <w:rPr>
          <w:lang w:eastAsia="zh-CN"/>
        </w:rPr>
      </w:pPr>
      <w:bookmarkStart w:id="22" w:name="_Toc31901"/>
      <w:r>
        <w:rPr>
          <w:lang w:eastAsia="zh-CN"/>
        </w:rPr>
        <w:t>附则</w:t>
      </w:r>
      <w:bookmarkEnd w:id="22"/>
    </w:p>
    <w:p w14:paraId="5AD3719A">
      <w:pPr>
        <w:pStyle w:val="30"/>
        <w:widowControl w:val="0"/>
        <w:ind w:firstLine="480"/>
      </w:pPr>
      <w:r>
        <w:t>本方案经甲方项目指导委员会评审通过后生效，即成为本项目数据清洗工作的最高执行依据。方案所有附件与本方案正文具有同等效力。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A2B65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3D08BEA"/>
    <w:multiLevelType w:val="singleLevel"/>
    <w:tmpl w:val="C3D08B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30F1D7F"/>
    <w:multiLevelType w:val="singleLevel"/>
    <w:tmpl w:val="F30F1D7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6557F2D"/>
    <w:multiLevelType w:val="singleLevel"/>
    <w:tmpl w:val="F6557F2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0B6281"/>
    <w:rsid w:val="01D2177B"/>
    <w:rsid w:val="0361265C"/>
    <w:rsid w:val="042353E7"/>
    <w:rsid w:val="059211F2"/>
    <w:rsid w:val="06231E4A"/>
    <w:rsid w:val="066E57BB"/>
    <w:rsid w:val="06C90C44"/>
    <w:rsid w:val="07702E6D"/>
    <w:rsid w:val="090E6E51"/>
    <w:rsid w:val="0B005722"/>
    <w:rsid w:val="0C7E427E"/>
    <w:rsid w:val="0DC45CC1"/>
    <w:rsid w:val="0E942E0B"/>
    <w:rsid w:val="114C73CD"/>
    <w:rsid w:val="1A226249"/>
    <w:rsid w:val="1B723200"/>
    <w:rsid w:val="1F7F413E"/>
    <w:rsid w:val="292A511A"/>
    <w:rsid w:val="2A6B4A25"/>
    <w:rsid w:val="2A8B3EBB"/>
    <w:rsid w:val="30F42DBB"/>
    <w:rsid w:val="31FE36B2"/>
    <w:rsid w:val="393A4F06"/>
    <w:rsid w:val="3BDC6748"/>
    <w:rsid w:val="3CEA279F"/>
    <w:rsid w:val="3FB84DD6"/>
    <w:rsid w:val="41BE244C"/>
    <w:rsid w:val="47086643"/>
    <w:rsid w:val="478E5BF3"/>
    <w:rsid w:val="4CC90623"/>
    <w:rsid w:val="5244074B"/>
    <w:rsid w:val="558477DD"/>
    <w:rsid w:val="56B063AF"/>
    <w:rsid w:val="57FA3D86"/>
    <w:rsid w:val="5A0A04CC"/>
    <w:rsid w:val="5C1473E0"/>
    <w:rsid w:val="5D2D69AC"/>
    <w:rsid w:val="5ECE1AC8"/>
    <w:rsid w:val="613C7C81"/>
    <w:rsid w:val="6361084A"/>
    <w:rsid w:val="63AE1EC8"/>
    <w:rsid w:val="6BDB3A77"/>
    <w:rsid w:val="6C2E204E"/>
    <w:rsid w:val="6DB9234D"/>
    <w:rsid w:val="708D1189"/>
    <w:rsid w:val="72145A91"/>
    <w:rsid w:val="759E1B06"/>
    <w:rsid w:val="75C5557C"/>
    <w:rsid w:val="768371E5"/>
    <w:rsid w:val="776F2285"/>
    <w:rsid w:val="79346574"/>
    <w:rsid w:val="7A150154"/>
    <w:rsid w:val="7A3902E6"/>
    <w:rsid w:val="7A431165"/>
    <w:rsid w:val="7A9C453F"/>
    <w:rsid w:val="7FA0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TML Code"/>
    <w:basedOn w:val="22"/>
    <w:qFormat/>
    <w:uiPriority w:val="0"/>
    <w:rPr>
      <w:rFonts w:ascii="Courier New" w:hAnsi="Courier New"/>
      <w:sz w:val="20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30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rPr>
      <w:sz w:val="24"/>
      <w:lang w:eastAsia="zh-CN"/>
    </w:rPr>
  </w:style>
  <w:style w:type="table" w:customStyle="1" w:styleId="41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3487</Words>
  <Characters>3702</Characters>
  <Lines>135</Lines>
  <Paragraphs>122</Paragraphs>
  <TotalTime>0</TotalTime>
  <ScaleCrop>false</ScaleCrop>
  <LinksUpToDate>false</LinksUpToDate>
  <CharactersWithSpaces>3801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2026-03-10T17:49:37Z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