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6EAAC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1BE6C8DE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A772A29">
      <w:pPr>
        <w:pStyle w:val="25"/>
        <w:widowControl w:val="0"/>
        <w:spacing w:after="1872"/>
        <w:rPr>
          <w:lang w:eastAsia="zh-CN"/>
        </w:rPr>
      </w:pPr>
      <w:bookmarkStart w:id="0" w:name="_Toc32217"/>
      <w:r>
        <w:rPr>
          <w:lang w:eastAsia="zh-CN"/>
        </w:rPr>
        <w:t>陕西益利德软件科技有限公司</w:t>
      </w:r>
      <w:bookmarkEnd w:id="0"/>
    </w:p>
    <w:p w14:paraId="0CAE840C">
      <w:pPr>
        <w:pStyle w:val="26"/>
        <w:widowControl w:val="0"/>
        <w:spacing w:after="2808"/>
        <w:rPr>
          <w:rFonts w:hint="eastAsia"/>
          <w:sz w:val="44"/>
          <w:szCs w:val="44"/>
          <w:lang w:eastAsia="zh-CN"/>
        </w:rPr>
      </w:pPr>
      <w:bookmarkStart w:id="1" w:name="_Toc28181"/>
      <w:r>
        <w:rPr>
          <w:rFonts w:hint="eastAsia"/>
          <w:sz w:val="44"/>
          <w:szCs w:val="44"/>
          <w:lang w:eastAsia="zh-CN"/>
        </w:rPr>
        <w:t>陕西华龙制药有限公司SPS产品支持服务项目总体实施方案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9B79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4DBBEB22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3587FC60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0D797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vAlign w:val="top"/>
          </w:tcPr>
          <w:p w14:paraId="674916CB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7B8E2249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72DD6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14FB7236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5FAD3636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2025.7.3</w:t>
            </w:r>
          </w:p>
        </w:tc>
      </w:tr>
    </w:tbl>
    <w:p w14:paraId="3FB6D0CF">
      <w:pPr>
        <w:pStyle w:val="30"/>
        <w:widowControl w:val="0"/>
        <w:ind w:firstLine="480"/>
      </w:pPr>
      <w:r>
        <w:br w:type="page"/>
      </w:r>
    </w:p>
    <w:p w14:paraId="7EF79E6C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77D6E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6A652189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096CD1A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B7C3D82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6B3BCD67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46444A6C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3DA9896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8397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6412CA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919" w:type="dxa"/>
          </w:tcPr>
          <w:p w14:paraId="20E135E9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D535C7C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32F7B1EE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0186BD5A">
            <w:pPr>
              <w:widowControl w:val="0"/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4E57CBDB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25D776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58E7F7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7C291A1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0B3DB4E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EA78573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0418210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1DF4A30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4D5202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65B9C5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4686C708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402782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73A44C8D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1C1D666E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CD5172C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4C7F0B2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557" w:hRule="atLeast"/>
        </w:trPr>
        <w:tc>
          <w:tcPr>
            <w:tcW w:w="1555" w:type="dxa"/>
          </w:tcPr>
          <w:p w14:paraId="37BDF7D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0023DBA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2E7F2B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5E4CE90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3D2393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8B6C27A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1048B4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3F7333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5DAE914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F573DD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235E4BE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7BDE5F7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AFE294E">
            <w:pPr>
              <w:pStyle w:val="28"/>
              <w:widowControl w:val="0"/>
              <w:rPr>
                <w:rFonts w:hint="eastAsia"/>
              </w:rPr>
            </w:pPr>
          </w:p>
        </w:tc>
      </w:tr>
      <w:tr w14:paraId="04821A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105AAE4F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FBA25E9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4865F7C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5CFBBDB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1A10B33">
            <w:pPr>
              <w:pStyle w:val="28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856944E">
            <w:pPr>
              <w:pStyle w:val="28"/>
              <w:widowControl w:val="0"/>
              <w:rPr>
                <w:rFonts w:hint="eastAsia"/>
              </w:rPr>
            </w:pPr>
          </w:p>
        </w:tc>
      </w:tr>
    </w:tbl>
    <w:p w14:paraId="3F53B631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D1CDDD8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6DEF70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_Toc32217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1C34D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_Toc28181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4"/>
              <w:lang w:eastAsia="zh-CN"/>
            </w:rPr>
            <w:t>陕西华龙制药有限公司SPS产品支持服务项目总体实施方案</w:t>
          </w:r>
          <w:r>
            <w:tab/>
          </w:r>
          <w:r>
            <w:fldChar w:fldCharType="begin"/>
          </w:r>
          <w:r>
            <w:instrText xml:space="preserve"> PAGEREF _Toc28181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8470A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_Toc2913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项目总览</w:t>
          </w:r>
          <w:r>
            <w:tab/>
          </w:r>
          <w:r>
            <w:fldChar w:fldCharType="begin"/>
          </w:r>
          <w:r>
            <w:instrText xml:space="preserve"> PAGEREF _Toc2913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A0BCB0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_Toc7601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lang w:eastAsia="zh-CN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_Toc7601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77895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_Toc19354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lang w:eastAsia="zh-CN"/>
            </w:rPr>
            <w:t>实施范围</w:t>
          </w:r>
          <w:r>
            <w:tab/>
          </w:r>
          <w:r>
            <w:fldChar w:fldCharType="begin"/>
          </w:r>
          <w:r>
            <w:instrText xml:space="preserve"> PAGEREF _Toc19354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077A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_Toc26882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lang w:eastAsia="zh-CN"/>
            </w:rPr>
            <w:t>项目管理原则</w:t>
          </w:r>
          <w:r>
            <w:tab/>
          </w:r>
          <w:r>
            <w:fldChar w:fldCharType="begin"/>
          </w:r>
          <w:r>
            <w:instrText xml:space="preserve"> PAGEREF _Toc26882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0558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_Toc23122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项目组织与职责</w:t>
          </w:r>
          <w:r>
            <w:tab/>
          </w:r>
          <w:r>
            <w:fldChar w:fldCharType="begin"/>
          </w:r>
          <w:r>
            <w:instrText xml:space="preserve"> PAGEREF _Toc23122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B93F8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_Toc11517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项目实施总体规划</w:t>
          </w:r>
          <w:r>
            <w:tab/>
          </w:r>
          <w:r>
            <w:fldChar w:fldCharType="begin"/>
          </w:r>
          <w:r>
            <w:instrText xml:space="preserve"> PAGEREF _Toc11517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B20C5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_Toc30618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第一阶段：项目启动与现状调研（2025年7月）</w:t>
          </w:r>
          <w:r>
            <w:tab/>
          </w:r>
          <w:r>
            <w:fldChar w:fldCharType="begin"/>
          </w:r>
          <w:r>
            <w:instrText xml:space="preserve"> PAGEREF _Toc30618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9E9725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_Toc27796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第二阶段：服务部署与数据清洗（2025年8月-9月）</w:t>
          </w:r>
          <w:r>
            <w:tab/>
          </w:r>
          <w:r>
            <w:fldChar w:fldCharType="begin"/>
          </w:r>
          <w:r>
            <w:instrText xml:space="preserve"> PAGEREF _Toc27796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99942C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_Toc31009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第三阶段：系统优化与培训（2025年10月-11月）</w:t>
          </w:r>
          <w:r>
            <w:tab/>
          </w:r>
          <w:r>
            <w:fldChar w:fldCharType="begin"/>
          </w:r>
          <w:r>
            <w:instrText xml:space="preserve"> PAGEREF _Toc31009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B22528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_Toc4923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第四阶段：常态化运行与监控（2025年12月-2026年5月）</w:t>
          </w:r>
          <w:r>
            <w:tab/>
          </w:r>
          <w:r>
            <w:fldChar w:fldCharType="begin"/>
          </w:r>
          <w:r>
            <w:instrText xml:space="preserve"> PAGEREF _Toc4923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361F6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_Toc16157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第五阶段：年度总结与验收（2026年6月）</w:t>
          </w:r>
          <w:r>
            <w:tab/>
          </w:r>
          <w:r>
            <w:fldChar w:fldCharType="begin"/>
          </w:r>
          <w:r>
            <w:instrText xml:space="preserve"> PAGEREF _Toc16157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FD2B4B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_Toc24725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风险管理策略</w:t>
          </w:r>
          <w:r>
            <w:tab/>
          </w:r>
          <w:r>
            <w:fldChar w:fldCharType="begin"/>
          </w:r>
          <w:r>
            <w:instrText xml:space="preserve"> PAGEREF _Toc24725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2717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_Toc4550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技术风险</w:t>
          </w:r>
          <w:r>
            <w:tab/>
          </w:r>
          <w:r>
            <w:fldChar w:fldCharType="begin"/>
          </w:r>
          <w:r>
            <w:instrText xml:space="preserve"> PAGEREF _Toc4550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DCE90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_Toc28309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服务响应风险</w:t>
          </w:r>
          <w:r>
            <w:tab/>
          </w:r>
          <w:r>
            <w:fldChar w:fldCharType="begin"/>
          </w:r>
          <w:r>
            <w:instrText xml:space="preserve"> PAGEREF _Toc28309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8D6174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_Toc13175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数据质量风险</w:t>
          </w:r>
          <w:r>
            <w:tab/>
          </w:r>
          <w:r>
            <w:fldChar w:fldCharType="begin"/>
          </w:r>
          <w:r>
            <w:instrText xml:space="preserve"> PAGEREF _Toc13175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D4CF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_Toc3475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沟通风险</w:t>
          </w:r>
          <w:r>
            <w:tab/>
          </w:r>
          <w:r>
            <w:fldChar w:fldCharType="begin"/>
          </w:r>
          <w:r>
            <w:instrText xml:space="preserve"> PAGEREF _Toc3475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D21FA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_Toc5350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</w:rPr>
            <w:t>人员变动风险</w:t>
          </w:r>
          <w:r>
            <w:tab/>
          </w:r>
          <w:r>
            <w:fldChar w:fldCharType="begin"/>
          </w:r>
          <w:r>
            <w:instrText xml:space="preserve"> PAGEREF _Toc5350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31C1C6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_Toc20010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质量控制与交付物管理</w:t>
          </w:r>
          <w:r>
            <w:tab/>
          </w:r>
          <w:r>
            <w:fldChar w:fldCharType="begin"/>
          </w:r>
          <w:r>
            <w:instrText xml:space="preserve"> PAGEREF _Toc20010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87A0D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_Toc17431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rFonts w:hint="eastAsia"/>
              <w:lang w:eastAsia="zh-CN"/>
            </w:rPr>
            <w:t>四级质量控制体系</w:t>
          </w:r>
          <w:r>
            <w:tab/>
          </w:r>
          <w:r>
            <w:fldChar w:fldCharType="begin"/>
          </w:r>
          <w:r>
            <w:instrText xml:space="preserve"> PAGEREF _Toc17431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DCB4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_Toc3798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5.2. </w:t>
          </w:r>
          <w:r>
            <w:rPr>
              <w:rFonts w:hint="eastAsia"/>
              <w:lang w:eastAsia="zh-CN"/>
            </w:rPr>
            <w:t>交付物管理</w:t>
          </w:r>
          <w:r>
            <w:tab/>
          </w:r>
          <w:r>
            <w:fldChar w:fldCharType="begin"/>
          </w:r>
          <w:r>
            <w:instrText xml:space="preserve"> PAGEREF _Toc3798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21BE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_Toc13303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项目交付成果</w:t>
          </w:r>
          <w:r>
            <w:tab/>
          </w:r>
          <w:r>
            <w:fldChar w:fldCharType="begin"/>
          </w:r>
          <w:r>
            <w:instrText xml:space="preserve"> PAGEREF _Toc13303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F48F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_Toc21416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7. </w:t>
          </w:r>
          <w:r>
            <w:rPr>
              <w:lang w:eastAsia="zh-CN"/>
            </w:rPr>
            <w:t>项目收尾与知识转移</w:t>
          </w:r>
          <w:r>
            <w:tab/>
          </w:r>
          <w:r>
            <w:fldChar w:fldCharType="begin"/>
          </w:r>
          <w:r>
            <w:instrText xml:space="preserve"> PAGEREF _Toc21416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91433E4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22424153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19D7D286">
      <w:pPr>
        <w:pStyle w:val="29"/>
        <w:rPr>
          <w:lang w:eastAsia="zh-CN"/>
        </w:rPr>
      </w:pPr>
      <w:bookmarkStart w:id="2" w:name="_Toc2913"/>
      <w:r>
        <w:rPr>
          <w:lang w:eastAsia="zh-CN"/>
        </w:rPr>
        <w:t>项目总览</w:t>
      </w:r>
      <w:bookmarkEnd w:id="2"/>
    </w:p>
    <w:p w14:paraId="15DE233D">
      <w:pPr>
        <w:pStyle w:val="31"/>
        <w:rPr>
          <w:lang w:eastAsia="zh-CN"/>
        </w:rPr>
      </w:pPr>
      <w:bookmarkStart w:id="3" w:name="_Toc7601"/>
      <w:r>
        <w:rPr>
          <w:lang w:eastAsia="zh-CN"/>
        </w:rPr>
        <w:t>项目目标</w:t>
      </w:r>
      <w:bookmarkEnd w:id="3"/>
    </w:p>
    <w:p w14:paraId="0510DEEA">
      <w:pPr>
        <w:pStyle w:val="30"/>
        <w:rPr>
          <w:lang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方案旨在全面指导“陕西华龙制药有限公司SPS产品支持服务项目”的实施。我们的核心目标是，在合同约定的服务期内，高质量地完成SPS标准产品支持服务的各项交付内容，确保陕西华龙制药有限公司ERP系统及其相关模块的稳定、高效运行。通过提供专业的更新升级、问题解决、知识转移和系统体检服务，保障客户业务连续性和数据准确性，最终实现客户满意度的持续提升，确保项目顺利通过年度服务验收。</w:t>
      </w:r>
    </w:p>
    <w:p w14:paraId="07A2DCDB">
      <w:pPr>
        <w:pStyle w:val="31"/>
        <w:rPr>
          <w:lang w:eastAsia="zh-CN"/>
        </w:rPr>
      </w:pPr>
      <w:bookmarkStart w:id="4" w:name="_Toc19354"/>
      <w:r>
        <w:rPr>
          <w:lang w:eastAsia="zh-CN"/>
        </w:rPr>
        <w:t>实施范围</w:t>
      </w:r>
      <w:bookmarkEnd w:id="4"/>
    </w:p>
    <w:p w14:paraId="3B47E80B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本项目的实施范围严格遵循主合同《陕西华龙制药有限公司SPS产品支持服务合同》的约定。具体包括：</w:t>
      </w:r>
    </w:p>
    <w:p w14:paraId="7822BADF">
      <w:pPr>
        <w:pStyle w:val="30"/>
        <w:widowControl w:val="0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更新升级服务：提供畅捷通软件产品当前版本的补丁包更新，以及新版本产品的许可授权升级服务，确保客户软件始终处于合规、稳定的运行状态。</w:t>
      </w:r>
    </w:p>
    <w:p w14:paraId="66C8FA36">
      <w:pPr>
        <w:pStyle w:val="30"/>
        <w:widowControl w:val="0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问题解决服务：通过400热线电话、在线支持平台等方式，为客户提供7×10小时人工咨询服务，及时响应并解决客户在使用许可软件过程中遇到的各类故障和问题。</w:t>
      </w:r>
    </w:p>
    <w:p w14:paraId="2220A67E">
      <w:pPr>
        <w:pStyle w:val="30"/>
        <w:widowControl w:val="0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知识转移服务：通过畅捷通伙伴中心知识库，为客户提供7×24小时自助检索服务，包括产品应用指南、参数指南、故障排除知识库（FAQ）等；同时提供在线学习资源，支持客户团队能力提升。</w:t>
      </w:r>
    </w:p>
    <w:p w14:paraId="638AB353">
      <w:pPr>
        <w:pStyle w:val="30"/>
        <w:widowControl w:val="0"/>
        <w:numPr>
          <w:ilvl w:val="0"/>
          <w:numId w:val="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系统体检服务：利用畅捷通伙伴中心绿色服务桌面提供的系统体检工具，协助客户定期进行账套健康体检，生成体检报告，实现系统运行健康状况的主动监控与风险预警。</w:t>
      </w:r>
    </w:p>
    <w:p w14:paraId="3D894B21">
      <w:pPr>
        <w:pStyle w:val="30"/>
        <w:widowControl w:val="0"/>
        <w:numPr>
          <w:ilvl w:val="0"/>
          <w:numId w:val="2"/>
        </w:numPr>
        <w:ind w:left="425" w:leftChars="0" w:hanging="425" w:firstLineChars="0"/>
      </w:pPr>
      <w:r>
        <w:rPr>
          <w:rFonts w:hint="eastAsia"/>
        </w:rPr>
        <w:t>数据清洗与质量保障：作为专项服务内容，依据《数据清洗策略方案》对ERP系统各模块（生产、库存、财务、质量等）的核心业务数据进行清洗、校验与质量监控，确保数据的准确性、完整性和一致性，满足GMP等相关监管要求。</w:t>
      </w:r>
    </w:p>
    <w:p w14:paraId="7E3736A0">
      <w:pPr>
        <w:pStyle w:val="31"/>
        <w:rPr>
          <w:lang w:eastAsia="zh-CN"/>
        </w:rPr>
      </w:pPr>
      <w:bookmarkStart w:id="5" w:name="_Toc26882"/>
      <w:r>
        <w:rPr>
          <w:lang w:eastAsia="zh-CN"/>
        </w:rPr>
        <w:t>项目管理原则</w:t>
      </w:r>
      <w:bookmarkEnd w:id="5"/>
    </w:p>
    <w:p w14:paraId="4C5849F4">
      <w:pPr>
        <w:pStyle w:val="30"/>
        <w:widowControl w:val="0"/>
        <w:ind w:firstLine="480"/>
      </w:pPr>
      <w:r>
        <w:t>本项目将遵循以下核心原则进行管理：</w:t>
      </w:r>
    </w:p>
    <w:p w14:paraId="3ACE1211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计划先行：所有服务活动均以本方案及细化计划为依据，确保各项工作有序推进，资源合理配置。</w:t>
      </w:r>
    </w:p>
    <w:p w14:paraId="492F77C2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客户导向：始终将客户需求放在首位，所有服务活动以解决客户问题、提升客户满意度为核心目标。</w:t>
      </w:r>
    </w:p>
    <w:p w14:paraId="0EBA2D77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质量为本：严格执行服务质量检查体系，对每一次服务响应、每一个问题处理、每一份交付成果进行质量把关。</w:t>
      </w:r>
    </w:p>
    <w:p w14:paraId="641E797F">
      <w:pPr>
        <w:pStyle w:val="30"/>
        <w:widowControl w:val="0"/>
        <w:numPr>
          <w:ilvl w:val="0"/>
          <w:numId w:val="3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风险预控：主动识别并评估服务过程中可能出现的各类风险，提前制定应对措施，确保服务连续性。</w:t>
      </w:r>
    </w:p>
    <w:p w14:paraId="181C4D40">
      <w:pPr>
        <w:pStyle w:val="30"/>
        <w:widowControl w:val="0"/>
        <w:numPr>
          <w:ilvl w:val="0"/>
          <w:numId w:val="3"/>
        </w:numPr>
        <w:ind w:left="425" w:leftChars="0" w:hanging="425" w:firstLineChars="0"/>
      </w:pPr>
      <w:r>
        <w:rPr>
          <w:rFonts w:hint="eastAsia"/>
        </w:rPr>
        <w:t>沟通顺畅：建立与客户的定期沟通机制，确保服务进展、问题状态、改进建议等信息传递及时、准确。</w:t>
      </w:r>
    </w:p>
    <w:p w14:paraId="7FC0AB74">
      <w:pPr>
        <w:pStyle w:val="29"/>
        <w:rPr>
          <w:lang w:eastAsia="zh-CN"/>
        </w:rPr>
      </w:pPr>
      <w:bookmarkStart w:id="6" w:name="_Toc23122"/>
      <w:r>
        <w:rPr>
          <w:lang w:eastAsia="zh-CN"/>
        </w:rPr>
        <w:t>项目组织与职责</w:t>
      </w:r>
      <w:bookmarkEnd w:id="6"/>
    </w:p>
    <w:p w14:paraId="737A8D7A">
      <w:pPr>
        <w:pStyle w:val="30"/>
        <w:widowControl w:val="0"/>
        <w:ind w:firstLine="480"/>
      </w:pPr>
      <w:r>
        <w:t>为保障项目高效推进，我司特成立专职项目团队，组织架构与职责如下：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1486"/>
        <w:gridCol w:w="863"/>
        <w:gridCol w:w="4840"/>
      </w:tblGrid>
      <w:tr w14:paraId="56B60B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3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1123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角色</w:t>
            </w:r>
          </w:p>
        </w:tc>
        <w:tc>
          <w:tcPr>
            <w:tcW w:w="148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FEC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岗位</w:t>
            </w:r>
          </w:p>
        </w:tc>
        <w:tc>
          <w:tcPr>
            <w:tcW w:w="8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0449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人员</w:t>
            </w:r>
          </w:p>
        </w:tc>
        <w:tc>
          <w:tcPr>
            <w:tcW w:w="484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598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主要职责</w:t>
            </w:r>
          </w:p>
        </w:tc>
      </w:tr>
      <w:tr w14:paraId="23F1F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36E7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项目经理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4B6B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运维项目经理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954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孙光莉</w:t>
            </w:r>
          </w:p>
        </w:tc>
        <w:tc>
          <w:tcPr>
            <w:tcW w:w="48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23C5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全面负责项目的整体规划、资源协调、进度管控与客户沟通；对项目交付质量和客户满意度负总责；定期向客户及公司管理层汇报项目进展。</w:t>
            </w:r>
          </w:p>
        </w:tc>
      </w:tr>
      <w:tr w14:paraId="1CD2B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B8ACC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技术支持工程师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3B37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软件运维工程师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E6A0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徐亚楠</w:t>
            </w:r>
          </w:p>
        </w:tc>
        <w:tc>
          <w:tcPr>
            <w:tcW w:w="48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A582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负责SPS标准产品支持服务的技术交付，包括热线问题响应、故障排查、补丁更新指导、系统体检执行等；确保技术问题得到及时、有效的解决。</w:t>
            </w:r>
          </w:p>
        </w:tc>
      </w:tr>
      <w:tr w14:paraId="03BB9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9CAF1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数据治理工程师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8A39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研发工程师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2926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赵薇</w:t>
            </w:r>
          </w:p>
        </w:tc>
        <w:tc>
          <w:tcPr>
            <w:tcW w:w="48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7CB4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作为数据清洗专项负责人，依据《数据清洗策略方案》开展数据质量评估、清洗规则实施、数据监控与分析；确保核心业务数据满足准确性、完整性要求。</w:t>
            </w:r>
          </w:p>
        </w:tc>
      </w:tr>
      <w:tr w14:paraId="7376F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DC18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服务台专员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FF5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服务台专员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264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李华</w:t>
            </w:r>
          </w:p>
        </w:tc>
        <w:tc>
          <w:tcPr>
            <w:tcW w:w="484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76EC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负责服务请求的统一接收、记录、分派与跟踪；执行客户回访与满意度调查；维护服务过程记录，确保服务流程闭环。</w:t>
            </w:r>
          </w:p>
        </w:tc>
      </w:tr>
      <w:tr w14:paraId="2A04B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C2C2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质量管理员</w:t>
            </w:r>
          </w:p>
        </w:tc>
        <w:tc>
          <w:tcPr>
            <w:tcW w:w="14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6E2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质量管理员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43CF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张敏</w:t>
            </w:r>
          </w:p>
        </w:tc>
        <w:tc>
          <w:tcPr>
            <w:tcW w:w="48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DE13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负责制定服务质量标准，监控服务过程质量，审核交付物；定期组织服务质量评审，推动持续改进。</w:t>
            </w:r>
          </w:p>
        </w:tc>
      </w:tr>
    </w:tbl>
    <w:p w14:paraId="7FF77B7A">
      <w:pPr>
        <w:pStyle w:val="30"/>
        <w:widowControl w:val="0"/>
        <w:ind w:firstLine="480"/>
      </w:pPr>
    </w:p>
    <w:p w14:paraId="58F9B408">
      <w:pPr>
        <w:pStyle w:val="30"/>
        <w:widowControl w:val="0"/>
        <w:ind w:firstLine="48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项目组将建立周例会制度，每周五下午与客户召开项目沟通会，同步本周服务进展、问题处理情况、下周工作计划，并听取客户反馈意见。同时，建立月度服务报告机制，每月5日前提交上月度《SPS服务月报》，全面汇总服务数据与质量指标。</w:t>
      </w:r>
    </w:p>
    <w:p w14:paraId="7DD34DF6">
      <w:pPr>
        <w:pStyle w:val="29"/>
        <w:bidi w:val="0"/>
        <w:rPr>
          <w:rFonts w:hint="eastAsia"/>
        </w:rPr>
      </w:pPr>
      <w:bookmarkStart w:id="7" w:name="_Toc11517"/>
      <w:r>
        <w:rPr>
          <w:rFonts w:hint="eastAsia"/>
        </w:rPr>
        <w:t>项目实施总体规划</w:t>
      </w:r>
      <w:bookmarkEnd w:id="7"/>
    </w:p>
    <w:p w14:paraId="72B2C670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本项目总服务期为2025年7月至2026年6月，共计12个月。为确保服务可控、质量可追溯，我们将整体工作划分为五个关键阶段，各阶段相互衔接、有序推进。</w:t>
      </w:r>
    </w:p>
    <w:p w14:paraId="1672DCD7">
      <w:pPr>
        <w:pStyle w:val="31"/>
        <w:bidi w:val="0"/>
        <w:rPr>
          <w:rFonts w:hint="eastAsia"/>
        </w:rPr>
      </w:pPr>
      <w:bookmarkStart w:id="8" w:name="_Toc30618"/>
      <w:r>
        <w:rPr>
          <w:rFonts w:hint="eastAsia"/>
        </w:rPr>
        <w:t>第一阶段：项目启动与现状调研（2025年7月）</w:t>
      </w:r>
      <w:bookmarkEnd w:id="8"/>
    </w:p>
    <w:p w14:paraId="775CB31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本阶段核心任务是完成项目团队组建、与客户建立沟通机制、全面了解客户系统现状与服务需求。</w:t>
      </w:r>
    </w:p>
    <w:p w14:paraId="5CC72DA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主要工作内容：</w:t>
      </w:r>
    </w:p>
    <w:p w14:paraId="7F3BCA5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召开项目启动会，明确双方项目团队、沟通渠道、汇报机制</w:t>
      </w:r>
    </w:p>
    <w:p w14:paraId="02A8B30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收集客户ERP系统环境信息（版本、模块、部署方式、用户规模等）</w:t>
      </w:r>
    </w:p>
    <w:p w14:paraId="52842FB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调研客户历史问题记录与服务需求重点</w:t>
      </w:r>
    </w:p>
    <w:p w14:paraId="2A497DA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建立服务台账模板与问题跟踪机制</w:t>
      </w:r>
    </w:p>
    <w:p w14:paraId="444D23B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制定《SPS服务执行计划》与《数据清洗详细实施计划》</w:t>
      </w:r>
    </w:p>
    <w:p w14:paraId="276F0A23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关键交付物：</w:t>
      </w:r>
    </w:p>
    <w:p w14:paraId="5258B03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《项目启动会纪要》</w:t>
      </w:r>
    </w:p>
    <w:p w14:paraId="7A02B2C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《客户系统现状调研报告》</w:t>
      </w:r>
    </w:p>
    <w:p w14:paraId="3F587EC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《SPS服务执行计划》</w:t>
      </w:r>
    </w:p>
    <w:p w14:paraId="6C33EFD3">
      <w:pPr>
        <w:pStyle w:val="31"/>
        <w:bidi w:val="0"/>
        <w:rPr>
          <w:rFonts w:hint="eastAsia"/>
        </w:rPr>
      </w:pPr>
      <w:bookmarkStart w:id="9" w:name="_Toc27796"/>
      <w:r>
        <w:rPr>
          <w:rFonts w:hint="eastAsia"/>
        </w:rPr>
        <w:t>第二阶段：服务部署与数据清洗（2025年8月-9月）</w:t>
      </w:r>
      <w:bookmarkEnd w:id="9"/>
    </w:p>
    <w:p w14:paraId="1614DFA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本阶段核心任务是全面启动SPS标准服务，并同步开展数据清洗专项工作。</w:t>
      </w:r>
    </w:p>
    <w:p w14:paraId="04DB880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主要工作内容：</w:t>
      </w:r>
    </w:p>
    <w:p w14:paraId="6E06F85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建立客户专属服务档案，录入服务管理系统</w:t>
      </w:r>
    </w:p>
    <w:p w14:paraId="035BCB3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为客户开通畅捷通伙伴中心服务权限，配置知识库访问</w:t>
      </w:r>
    </w:p>
    <w:p w14:paraId="7C9CC29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启动首次系统体检，生成《系统体检报告》</w:t>
      </w:r>
    </w:p>
    <w:p w14:paraId="1996453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依据《数据清洗策略方案》开展数据清洗规则开发与测试</w:t>
      </w:r>
    </w:p>
    <w:p w14:paraId="6C37D72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部署数据质量监控看板，建立数据质量日报机制</w:t>
      </w:r>
    </w:p>
    <w:p w14:paraId="00DFA59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开始受理日常服务请求与故障报修</w:t>
      </w:r>
    </w:p>
    <w:p w14:paraId="5AC9756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关键交付物：</w:t>
      </w:r>
    </w:p>
    <w:p w14:paraId="28D282C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《系统体检报告》</w:t>
      </w:r>
    </w:p>
    <w:p w14:paraId="7673293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《数据清洗模块测试报告》</w:t>
      </w:r>
    </w:p>
    <w:p w14:paraId="12E18C2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数据质量监控看板（可访问）</w:t>
      </w:r>
    </w:p>
    <w:p w14:paraId="1A31F735">
      <w:pPr>
        <w:pStyle w:val="31"/>
        <w:bidi w:val="0"/>
        <w:rPr>
          <w:rFonts w:hint="eastAsia"/>
        </w:rPr>
      </w:pPr>
      <w:bookmarkStart w:id="10" w:name="_Toc31009"/>
      <w:r>
        <w:rPr>
          <w:rFonts w:hint="eastAsia"/>
        </w:rPr>
        <w:t>第三阶段：系统优化与培训（2025年10月-11月）</w:t>
      </w:r>
      <w:bookmarkEnd w:id="10"/>
    </w:p>
    <w:p w14:paraId="105B22C8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本阶段核心任务是在稳定服务的基础上，主动识别优化机会，提升客户团队能力。</w:t>
      </w:r>
    </w:p>
    <w:p w14:paraId="3D6CDD0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主要工作内容：</w:t>
      </w:r>
    </w:p>
    <w:p w14:paraId="7C1C8F1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分析历史问题数据，识别高频故障与潜在风险</w:t>
      </w:r>
    </w:p>
    <w:p w14:paraId="7CD120D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针对典型问题编制《常见故障处理手册》</w:t>
      </w:r>
    </w:p>
    <w:p w14:paraId="20DF987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组织客户关键用户进行SPS服务资源使用培训</w:t>
      </w:r>
    </w:p>
    <w:p w14:paraId="313C212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开展数据质量深度分析，优化清洗规则</w:t>
      </w:r>
    </w:p>
    <w:p w14:paraId="0127AF2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根据客户需求提供专项优化建议（如数据库性能、系统配置等）</w:t>
      </w:r>
    </w:p>
    <w:p w14:paraId="1D55172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关键交付物：</w:t>
      </w:r>
    </w:p>
    <w:p w14:paraId="5AD00B3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《常见故障处理手册》</w:t>
      </w:r>
    </w:p>
    <w:p w14:paraId="06CC2A5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《培训记录》（含签到表、培训材料）</w:t>
      </w:r>
    </w:p>
    <w:p w14:paraId="36796BA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《数据质量分析报告》</w:t>
      </w:r>
    </w:p>
    <w:p w14:paraId="58CDD865">
      <w:pPr>
        <w:pStyle w:val="31"/>
        <w:bidi w:val="0"/>
        <w:rPr>
          <w:rFonts w:hint="eastAsia"/>
        </w:rPr>
      </w:pPr>
      <w:bookmarkStart w:id="11" w:name="_Toc4923"/>
      <w:r>
        <w:rPr>
          <w:rFonts w:hint="eastAsia"/>
        </w:rPr>
        <w:t>第四阶段：常态化运行与监控（2025年12月-2026年5月）</w:t>
      </w:r>
      <w:bookmarkEnd w:id="11"/>
    </w:p>
    <w:p w14:paraId="648823F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本阶段核心任务是保持服务常态化运行，持续监控服务质量与数据质量。</w:t>
      </w:r>
    </w:p>
    <w:p w14:paraId="10F4F200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主要工作内容：</w:t>
      </w:r>
    </w:p>
    <w:p w14:paraId="174A9991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持续受理日常服务请求，按SLA要求及时响应</w:t>
      </w:r>
    </w:p>
    <w:p w14:paraId="52100D5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每月定期开展系统体检，跟踪系统健康趋势</w:t>
      </w:r>
    </w:p>
    <w:p w14:paraId="0BCBCED3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持续监控数据质量KPI，异常时及时预警与处置</w:t>
      </w:r>
    </w:p>
    <w:p w14:paraId="3E1912D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每季度提交《季度服务总结报告》</w:t>
      </w:r>
    </w:p>
    <w:p w14:paraId="1B15A00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根据客户需求变化，适时调整服务策略与清洗规则</w:t>
      </w:r>
    </w:p>
    <w:p w14:paraId="0FDCDFB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关键交付物：</w:t>
      </w:r>
    </w:p>
    <w:p w14:paraId="3FE9D68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月度《SPS服务月报》</w:t>
      </w:r>
    </w:p>
    <w:p w14:paraId="7B854E6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季度《服务质量总结报告》</w:t>
      </w:r>
    </w:p>
    <w:p w14:paraId="32C2A33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《数据质量季度分析报告》</w:t>
      </w:r>
    </w:p>
    <w:p w14:paraId="6B71DAA8">
      <w:pPr>
        <w:pStyle w:val="31"/>
        <w:bidi w:val="0"/>
        <w:rPr>
          <w:rFonts w:hint="eastAsia"/>
        </w:rPr>
      </w:pPr>
      <w:bookmarkStart w:id="12" w:name="_Toc16157"/>
      <w:r>
        <w:rPr>
          <w:rFonts w:hint="eastAsia"/>
        </w:rPr>
        <w:t>第五阶段：年度总结与验收（2026年6月）</w:t>
      </w:r>
      <w:bookmarkEnd w:id="12"/>
    </w:p>
    <w:p w14:paraId="052B2A9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本阶段核心任务是全面总结年度服务成果，准备验收材料，配合客户完成年度服务验收。</w:t>
      </w:r>
    </w:p>
    <w:p w14:paraId="3071158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主要工作内容：</w:t>
      </w:r>
    </w:p>
    <w:p w14:paraId="2096E63C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汇总全年服务数据，编制《年度服务总结报告》</w:t>
      </w:r>
    </w:p>
    <w:p w14:paraId="69330FC3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整理全年交付物清单，形成完整服务档案</w:t>
      </w:r>
    </w:p>
    <w:p w14:paraId="7907463F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协助客户进行年度服务满意度评价</w:t>
      </w:r>
    </w:p>
    <w:p w14:paraId="2311260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配合客户完成服务验收，签署《服务验收单》</w:t>
      </w:r>
    </w:p>
    <w:p w14:paraId="2CA2A550">
      <w:pPr>
        <w:pStyle w:val="30"/>
        <w:widowControl w:val="0"/>
        <w:ind w:firstLine="480"/>
      </w:pPr>
      <w:r>
        <w:rPr>
          <w:rFonts w:hint="eastAsia"/>
        </w:rPr>
        <w:t>制定下一年度服务优化建议</w:t>
      </w:r>
    </w:p>
    <w:p w14:paraId="5A856E80">
      <w:pPr>
        <w:pStyle w:val="29"/>
        <w:rPr>
          <w:lang w:eastAsia="zh-CN"/>
        </w:rPr>
      </w:pPr>
      <w:bookmarkStart w:id="13" w:name="_Toc24725"/>
      <w:r>
        <w:rPr>
          <w:lang w:eastAsia="zh-CN"/>
        </w:rPr>
        <w:t>风险管理策略</w:t>
      </w:r>
      <w:bookmarkEnd w:id="13"/>
    </w:p>
    <w:p w14:paraId="33DA95FD">
      <w:pPr>
        <w:pStyle w:val="30"/>
        <w:widowControl w:val="0"/>
        <w:ind w:firstLine="480"/>
      </w:pPr>
      <w:r>
        <w:t>我们已经识别出本项目可能面临的几类主要风险，并制定了相应的应对策略。</w:t>
      </w:r>
    </w:p>
    <w:p w14:paraId="0E749CBE">
      <w:pPr>
        <w:pStyle w:val="31"/>
        <w:bidi w:val="0"/>
        <w:rPr>
          <w:rFonts w:hint="eastAsia"/>
        </w:rPr>
      </w:pPr>
      <w:bookmarkStart w:id="14" w:name="_Toc4550"/>
      <w:r>
        <w:rPr>
          <w:rFonts w:hint="eastAsia"/>
        </w:rPr>
        <w:t>技术风险</w:t>
      </w:r>
      <w:bookmarkEnd w:id="14"/>
    </w:p>
    <w:p w14:paraId="664B45E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风险描述：ERP系统环境复杂，问题诊断难度大；数据清洗规则可能因业务理解偏差导致效果不佳。</w:t>
      </w:r>
    </w:p>
    <w:p w14:paraId="25ADAD4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应对措施：</w:t>
      </w:r>
    </w:p>
    <w:p w14:paraId="15FAA39E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技术支持工程师具备5年以上畅捷通产品服务经验，熟悉各类常见问题</w:t>
      </w:r>
    </w:p>
    <w:p w14:paraId="6B9BCD7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数据清洗规则开发前，与客户业务部门（生产、财务、仓储等）充分沟通确认业务逻辑</w:t>
      </w:r>
    </w:p>
    <w:p w14:paraId="1B46BEF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所有清洗规则上线前必须在测试环境充分验证</w:t>
      </w:r>
    </w:p>
    <w:p w14:paraId="291E383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建立问题升级机制，疑难问题可协调原厂技术支持</w:t>
      </w:r>
    </w:p>
    <w:p w14:paraId="7451E0FA">
      <w:pPr>
        <w:pStyle w:val="31"/>
        <w:bidi w:val="0"/>
        <w:rPr>
          <w:rFonts w:hint="eastAsia"/>
        </w:rPr>
      </w:pPr>
      <w:bookmarkStart w:id="15" w:name="_Toc28309"/>
      <w:r>
        <w:rPr>
          <w:rFonts w:hint="eastAsia"/>
        </w:rPr>
        <w:t>服务响应风险</w:t>
      </w:r>
      <w:bookmarkEnd w:id="15"/>
    </w:p>
    <w:p w14:paraId="63EFC4B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风险描述：服务请求高峰期可能出现响应延迟，影响客户满意度。</w:t>
      </w:r>
    </w:p>
    <w:p w14:paraId="68C9299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应对措施：</w:t>
      </w:r>
    </w:p>
    <w:p w14:paraId="16775B00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建立服务请求分级机制，根据紧急程度分配响应资源</w:t>
      </w:r>
    </w:p>
    <w:p w14:paraId="32520B63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服务台专员每日跟踪未关闭工单，确保不超期</w:t>
      </w:r>
    </w:p>
    <w:p w14:paraId="76E7A907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建立备岗机制，关键人员休假时由备岗接替</w:t>
      </w:r>
    </w:p>
    <w:p w14:paraId="2DA37958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定期分析服务请求趋势，提前预判高峰期</w:t>
      </w:r>
    </w:p>
    <w:p w14:paraId="7B7599FF">
      <w:pPr>
        <w:pStyle w:val="31"/>
        <w:bidi w:val="0"/>
        <w:rPr>
          <w:rFonts w:hint="eastAsia"/>
        </w:rPr>
      </w:pPr>
      <w:bookmarkStart w:id="16" w:name="_Toc13175"/>
      <w:r>
        <w:rPr>
          <w:rFonts w:hint="eastAsia"/>
        </w:rPr>
        <w:t>数据质量风险</w:t>
      </w:r>
      <w:bookmarkEnd w:id="16"/>
    </w:p>
    <w:p w14:paraId="20E3071B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风险描述：数据清洗规则在实际运行中可能未达预期，影响业务决策准确性。</w:t>
      </w:r>
    </w:p>
    <w:p w14:paraId="067856D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应对措施：</w:t>
      </w:r>
    </w:p>
    <w:p w14:paraId="208E5B4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建立数据质量日盯盘机制，每日监控核心KPI</w:t>
      </w:r>
    </w:p>
    <w:p w14:paraId="32901DED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一旦指标偏离阈值，立即启动问题分析与规则调优</w:t>
      </w:r>
    </w:p>
    <w:p w14:paraId="3E8BB89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所有清洗规则变更需经客户业务负责人书面审批</w:t>
      </w:r>
    </w:p>
    <w:p w14:paraId="1E962240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保留完整的数据血缘日志，确保问题可追溯</w:t>
      </w:r>
    </w:p>
    <w:p w14:paraId="20DEAA18">
      <w:pPr>
        <w:pStyle w:val="31"/>
        <w:bidi w:val="0"/>
        <w:rPr>
          <w:rFonts w:hint="eastAsia"/>
        </w:rPr>
      </w:pPr>
      <w:bookmarkStart w:id="17" w:name="_Toc3475"/>
      <w:r>
        <w:rPr>
          <w:rFonts w:hint="eastAsia"/>
        </w:rPr>
        <w:t>沟通风险</w:t>
      </w:r>
      <w:bookmarkEnd w:id="17"/>
    </w:p>
    <w:p w14:paraId="3749C52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风险描述：与客户沟通不畅，需求理解偏差或信息传递不及时。</w:t>
      </w:r>
    </w:p>
    <w:p w14:paraId="5E4EABE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应对措施：</w:t>
      </w:r>
    </w:p>
    <w:p w14:paraId="4AF461D8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建立固定的周例会、月报告沟通机制</w:t>
      </w:r>
    </w:p>
    <w:p w14:paraId="5B6135F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所有重要沟通保留书面记录</w:t>
      </w:r>
    </w:p>
    <w:p w14:paraId="49E16DD4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服务台统一受理入口，避免多头沟通</w:t>
      </w:r>
    </w:p>
    <w:p w14:paraId="0872BEAA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建立问题升级与反馈闭环，确保事事有回应</w:t>
      </w:r>
    </w:p>
    <w:p w14:paraId="7EA8E05C">
      <w:pPr>
        <w:pStyle w:val="31"/>
        <w:bidi w:val="0"/>
        <w:rPr>
          <w:rFonts w:hint="eastAsia"/>
        </w:rPr>
      </w:pPr>
      <w:bookmarkStart w:id="18" w:name="_Toc5350"/>
      <w:r>
        <w:rPr>
          <w:rFonts w:hint="eastAsia"/>
        </w:rPr>
        <w:t>人员变动风险</w:t>
      </w:r>
      <w:bookmarkEnd w:id="18"/>
    </w:p>
    <w:p w14:paraId="3D613942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风险描述：项目核心人员变动可能导致服务连续性受影响。</w:t>
      </w:r>
    </w:p>
    <w:p w14:paraId="6FA6B6E5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应对措施：</w:t>
      </w:r>
    </w:p>
    <w:p w14:paraId="258C9286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所有服务过程、问题处理记录完整归档</w:t>
      </w:r>
    </w:p>
    <w:p w14:paraId="456245B9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建立知识库，沉淀常见问题解决方案</w:t>
      </w:r>
    </w:p>
    <w:p w14:paraId="1F7E4B78">
      <w:pPr>
        <w:pStyle w:val="30"/>
        <w:widowControl w:val="0"/>
        <w:ind w:firstLine="480"/>
        <w:rPr>
          <w:rFonts w:hint="eastAsia"/>
        </w:rPr>
      </w:pPr>
      <w:r>
        <w:rPr>
          <w:rFonts w:hint="eastAsia"/>
        </w:rPr>
        <w:t>关键岗位设置AB角，确保人员变动时有接替</w:t>
      </w:r>
    </w:p>
    <w:p w14:paraId="216DEBAD">
      <w:pPr>
        <w:pStyle w:val="30"/>
        <w:widowControl w:val="0"/>
        <w:ind w:firstLine="480"/>
      </w:pPr>
      <w:r>
        <w:rPr>
          <w:rFonts w:hint="eastAsia"/>
        </w:rPr>
        <w:t>严格执行工作交接制度，交接期不少于1周</w:t>
      </w:r>
    </w:p>
    <w:p w14:paraId="45E72601">
      <w:pPr>
        <w:pStyle w:val="29"/>
        <w:rPr>
          <w:lang w:eastAsia="zh-CN"/>
        </w:rPr>
      </w:pPr>
      <w:bookmarkStart w:id="19" w:name="_Toc20010"/>
      <w:r>
        <w:rPr>
          <w:lang w:eastAsia="zh-CN"/>
        </w:rPr>
        <w:t>质量控制与交付物管理</w:t>
      </w:r>
      <w:bookmarkEnd w:id="19"/>
    </w:p>
    <w:p w14:paraId="02D1B202">
      <w:pPr>
        <w:pStyle w:val="31"/>
        <w:bidi w:val="0"/>
        <w:rPr>
          <w:rFonts w:hint="eastAsia"/>
          <w:lang w:eastAsia="zh-CN"/>
        </w:rPr>
      </w:pPr>
      <w:bookmarkStart w:id="20" w:name="_Toc17431"/>
      <w:r>
        <w:rPr>
          <w:rFonts w:hint="eastAsia"/>
          <w:lang w:eastAsia="zh-CN"/>
        </w:rPr>
        <w:t>四级质量控制体系</w:t>
      </w:r>
      <w:bookmarkEnd w:id="20"/>
    </w:p>
    <w:p w14:paraId="005F1594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我们将执行贯穿项目始终的四级质量控制体系：</w:t>
      </w:r>
    </w:p>
    <w:p w14:paraId="4ACA0058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第一级：自检</w:t>
      </w:r>
    </w:p>
    <w:p w14:paraId="013C5327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技术支持工程师、数据治理工程师对各自负责的服务活动、交付成果进行自我检查，确保符合规范要求。</w:t>
      </w:r>
    </w:p>
    <w:p w14:paraId="1A3DAEB0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第二级：互检</w:t>
      </w:r>
    </w:p>
    <w:p w14:paraId="61C98BA5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服务台专员对工单记录的完整性、准确性进行复核；项目经理对关键交付物进行审核。</w:t>
      </w:r>
    </w:p>
    <w:p w14:paraId="48D3975C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第三级：专检</w:t>
      </w:r>
    </w:p>
    <w:p w14:paraId="7DF2EB82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质量保障专员对服务过程、数据质量进行独立抽查，定期组织服务质量评审。</w:t>
      </w:r>
    </w:p>
    <w:p w14:paraId="757CCCE8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第四级：客户确认</w:t>
      </w:r>
    </w:p>
    <w:p w14:paraId="5049BA04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关键交付物（如系统体检报告、数据质量报告）提交客户前，需经客户确认；重大问题处理结果需客户认可。</w:t>
      </w:r>
    </w:p>
    <w:p w14:paraId="3C65B3AB">
      <w:pPr>
        <w:pStyle w:val="31"/>
        <w:bidi w:val="0"/>
        <w:rPr>
          <w:rFonts w:hint="eastAsia"/>
          <w:lang w:eastAsia="zh-CN"/>
        </w:rPr>
      </w:pPr>
      <w:bookmarkStart w:id="21" w:name="_Toc3798"/>
      <w:r>
        <w:rPr>
          <w:rFonts w:hint="eastAsia"/>
          <w:lang w:eastAsia="zh-CN"/>
        </w:rPr>
        <w:t>交付物管理</w:t>
      </w:r>
      <w:bookmarkEnd w:id="21"/>
    </w:p>
    <w:p w14:paraId="713CA5C2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项目交付物管理是质量管控的核心。我们已经制定了详细的《项目交付物清单》，明确了每一份文档、报告或成果物的产出阶段、责任岗位、内容要求及提交时间。</w:t>
      </w:r>
    </w:p>
    <w:p w14:paraId="4153111A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交付物管理要求：</w:t>
      </w:r>
    </w:p>
    <w:p w14:paraId="0335C3DD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所有交付物使用统一模板，确保格式规范</w:t>
      </w:r>
    </w:p>
    <w:p w14:paraId="034E7D19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交付物编制完成后，需经项目经理审核</w:t>
      </w:r>
    </w:p>
    <w:p w14:paraId="43EA459B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提交客户前，需确保内容准确、数据完整</w:t>
      </w:r>
    </w:p>
    <w:p w14:paraId="13A45999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所有交付物由质量保障专员统一归档、版本管理</w:t>
      </w:r>
    </w:p>
    <w:p w14:paraId="6AFCE983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最终验收时形成完整的竣工文档集</w:t>
      </w:r>
    </w:p>
    <w:p w14:paraId="42547300">
      <w:pPr>
        <w:pStyle w:val="30"/>
        <w:rPr>
          <w:lang w:eastAsia="zh-CN"/>
        </w:rPr>
      </w:pPr>
    </w:p>
    <w:p w14:paraId="35D3BBD3">
      <w:pPr>
        <w:pStyle w:val="29"/>
        <w:rPr>
          <w:lang w:eastAsia="zh-CN"/>
        </w:rPr>
      </w:pPr>
      <w:bookmarkStart w:id="22" w:name="_Toc13303"/>
      <w:r>
        <w:rPr>
          <w:lang w:eastAsia="zh-CN"/>
        </w:rPr>
        <w:t>项目交付成果</w:t>
      </w:r>
      <w:bookmarkEnd w:id="22"/>
    </w:p>
    <w:p w14:paraId="20CF9F1B">
      <w:pPr>
        <w:pStyle w:val="30"/>
        <w:widowControl w:val="0"/>
        <w:ind w:firstLine="480"/>
      </w:pPr>
      <w:r>
        <w:t>根据合同及项目管理要求，我们将向甲方交付包括但不限于以下成果：</w:t>
      </w:r>
    </w:p>
    <w:p w14:paraId="33D210C0">
      <w:pPr>
        <w:pStyle w:val="30"/>
        <w:widowControl w:val="0"/>
        <w:numPr>
          <w:ilvl w:val="0"/>
          <w:numId w:val="5"/>
        </w:numPr>
        <w:ind w:firstLineChars="0"/>
      </w:pPr>
      <w:r>
        <w:t>详细的技术设计文档</w:t>
      </w:r>
      <w:bookmarkStart w:id="24" w:name="_GoBack"/>
      <w:bookmarkEnd w:id="24"/>
      <w:r>
        <w:t>；</w:t>
      </w:r>
    </w:p>
    <w:p w14:paraId="3AFEC282">
      <w:pPr>
        <w:pStyle w:val="30"/>
        <w:widowControl w:val="0"/>
        <w:numPr>
          <w:ilvl w:val="0"/>
          <w:numId w:val="5"/>
        </w:numPr>
        <w:ind w:firstLineChars="0"/>
      </w:pPr>
      <w:r>
        <w:t>完整的软件系统及其源代码（根据合同约定）；</w:t>
      </w:r>
    </w:p>
    <w:p w14:paraId="766FAF6F">
      <w:pPr>
        <w:pStyle w:val="30"/>
        <w:widowControl w:val="0"/>
        <w:numPr>
          <w:ilvl w:val="0"/>
          <w:numId w:val="5"/>
        </w:numPr>
        <w:ind w:firstLineChars="0"/>
      </w:pPr>
      <w:r>
        <w:t>专门的数据清洗策略方案、实施记录及质量验证报告；</w:t>
      </w:r>
    </w:p>
    <w:p w14:paraId="454BB2A0">
      <w:pPr>
        <w:pStyle w:val="30"/>
        <w:widowControl w:val="0"/>
        <w:numPr>
          <w:ilvl w:val="0"/>
          <w:numId w:val="5"/>
        </w:numPr>
        <w:ind w:firstLineChars="0"/>
      </w:pPr>
      <w:r>
        <w:t>全面的系统测试报告；</w:t>
      </w:r>
    </w:p>
    <w:p w14:paraId="43A8710F">
      <w:pPr>
        <w:pStyle w:val="30"/>
        <w:widowControl w:val="0"/>
        <w:numPr>
          <w:ilvl w:val="0"/>
          <w:numId w:val="5"/>
        </w:numPr>
        <w:ind w:firstLineChars="0"/>
      </w:pPr>
      <w:r>
        <w:t>完整的用户操作与运维培训材料；</w:t>
      </w:r>
    </w:p>
    <w:p w14:paraId="4DCCFFEA">
      <w:pPr>
        <w:pStyle w:val="30"/>
        <w:widowControl w:val="0"/>
        <w:numPr>
          <w:ilvl w:val="0"/>
          <w:numId w:val="5"/>
        </w:numPr>
        <w:ind w:firstLineChars="0"/>
      </w:pPr>
      <w:r>
        <w:t>以及汇总所有技术资料、手册。</w:t>
      </w:r>
    </w:p>
    <w:p w14:paraId="05A27127">
      <w:pPr>
        <w:pStyle w:val="30"/>
        <w:widowControl w:val="0"/>
        <w:ind w:firstLine="480"/>
      </w:pPr>
      <w:r>
        <w:t>这些交付物共同构成项目最终验收的实质性基础。</w:t>
      </w:r>
    </w:p>
    <w:p w14:paraId="69FB8D14">
      <w:pPr>
        <w:pStyle w:val="29"/>
        <w:rPr>
          <w:lang w:eastAsia="zh-CN"/>
        </w:rPr>
      </w:pPr>
      <w:bookmarkStart w:id="23" w:name="_Toc21416"/>
      <w:r>
        <w:rPr>
          <w:lang w:eastAsia="zh-CN"/>
        </w:rPr>
        <w:t>项目收尾与知识转移</w:t>
      </w:r>
      <w:bookmarkEnd w:id="23"/>
    </w:p>
    <w:p w14:paraId="6AFEE5F2">
      <w:pPr>
        <w:pStyle w:val="30"/>
        <w:widowControl w:val="0"/>
        <w:ind w:firstLine="480"/>
      </w:pPr>
      <w:r>
        <w:t>项目通过最终验收后，我们将立即启动收尾程序。首先，完成所有项目文档的最终版整理与正式移交。其次，组织面向甲方运维团队的系统性知识转移培训，涵盖系统架构、日常操作、故障排查及数据质量监控等核心内容，确保甲方能够独立运维。最后，项目团队将按照合同条款，将系统支持工作平稳移交至我司售后服务体系，进入质保期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11970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D1C7BC7"/>
    <w:multiLevelType w:val="singleLevel"/>
    <w:tmpl w:val="4D1C7B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FAA32F8"/>
    <w:multiLevelType w:val="singleLevel"/>
    <w:tmpl w:val="4FAA32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0FCB0F7"/>
    <w:multiLevelType w:val="singleLevel"/>
    <w:tmpl w:val="70FCB0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CAF4C29"/>
    <w:multiLevelType w:val="singleLevel"/>
    <w:tmpl w:val="7CAF4C2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06D0CE9"/>
    <w:rsid w:val="00755DF0"/>
    <w:rsid w:val="01853E11"/>
    <w:rsid w:val="03ED7A10"/>
    <w:rsid w:val="0A4A5BF8"/>
    <w:rsid w:val="0F961CC2"/>
    <w:rsid w:val="110765F0"/>
    <w:rsid w:val="185F6D12"/>
    <w:rsid w:val="18D53478"/>
    <w:rsid w:val="1BF5598D"/>
    <w:rsid w:val="30E67B79"/>
    <w:rsid w:val="361B02C4"/>
    <w:rsid w:val="396C0E37"/>
    <w:rsid w:val="3C1732DC"/>
    <w:rsid w:val="3FFF2A05"/>
    <w:rsid w:val="43931F5F"/>
    <w:rsid w:val="44405FD5"/>
    <w:rsid w:val="51183927"/>
    <w:rsid w:val="54102FDB"/>
    <w:rsid w:val="57A44166"/>
    <w:rsid w:val="5B446689"/>
    <w:rsid w:val="5C6D6D4D"/>
    <w:rsid w:val="66551352"/>
    <w:rsid w:val="69470DF5"/>
    <w:rsid w:val="69CD7ED0"/>
    <w:rsid w:val="6A326887"/>
    <w:rsid w:val="77CE4490"/>
    <w:rsid w:val="78926FC6"/>
    <w:rsid w:val="7AC31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4265</Words>
  <Characters>4474</Characters>
  <Lines>123</Lines>
  <Paragraphs>130</Paragraphs>
  <TotalTime>0</TotalTime>
  <ScaleCrop>false</ScaleCrop>
  <LinksUpToDate>false</LinksUpToDate>
  <CharactersWithSpaces>4568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2026-03-10T18:30:08Z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