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B7CD1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63632BB2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322AE00">
      <w:pPr>
        <w:pStyle w:val="25"/>
        <w:widowControl w:val="0"/>
        <w:spacing w:after="1872"/>
        <w:rPr>
          <w:lang w:eastAsia="zh-CN"/>
        </w:rPr>
      </w:pPr>
      <w:bookmarkStart w:id="0" w:name="_Toc8826"/>
      <w:r>
        <w:rPr>
          <w:lang w:eastAsia="zh-CN"/>
        </w:rPr>
        <w:t>陕西益利德软件科技有限公司</w:t>
      </w:r>
      <w:bookmarkEnd w:id="0"/>
    </w:p>
    <w:p w14:paraId="57CF07C1">
      <w:pPr>
        <w:pStyle w:val="26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1" w:name="_Toc7262"/>
      <w:r>
        <w:rPr>
          <w:rFonts w:hint="eastAsia"/>
          <w:sz w:val="44"/>
          <w:szCs w:val="44"/>
          <w:lang w:eastAsia="zh-CN"/>
        </w:rPr>
        <w:t>陕西华龙制药有限公司SPS产品支持服务项目阶段性总结报告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901F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57D07923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6A3B4B5F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12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20</w:t>
            </w:r>
          </w:p>
        </w:tc>
      </w:tr>
      <w:tr w14:paraId="5388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14A5BFEA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547D0B3F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12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20</w:t>
            </w:r>
          </w:p>
        </w:tc>
      </w:tr>
      <w:tr w14:paraId="6983F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EAA7E28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3D4DD93F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12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20</w:t>
            </w:r>
          </w:p>
        </w:tc>
      </w:tr>
    </w:tbl>
    <w:p w14:paraId="5C4FB51B">
      <w:pPr>
        <w:pStyle w:val="30"/>
        <w:widowControl w:val="0"/>
        <w:ind w:firstLine="480"/>
      </w:pPr>
      <w:r>
        <w:br w:type="page"/>
      </w:r>
    </w:p>
    <w:p w14:paraId="7ECAE31D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B4993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3A266B3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3C9A195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40FBE30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893F23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1FE223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78E6732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F02EB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25D21A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919" w:type="dxa"/>
          </w:tcPr>
          <w:p w14:paraId="19AE3EC0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81F9949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EFEC186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0EC59FB0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F1E1E3E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5E575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76BF8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BFF928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8279EF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585A83B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C82A93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8111D94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3BEEFE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C6B44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862CFB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C93156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103494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5B0D26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A449EB4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0558C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B6BCA9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C158084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A3C68D4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3D168BD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DC1E62D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14901D3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FF3C0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08EB3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86C3A2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FDE132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C26909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1F2DC6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C92EF34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DB267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90EA0E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44B54C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A9D55E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29B1F7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FEC01B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715D763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24554BE2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5D769751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E11B0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_Toc8826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4A3C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_Toc7262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陕西华龙制药有限公司SPS产品支持服务项目阶段性总结报告</w:t>
          </w:r>
          <w:r>
            <w:tab/>
          </w:r>
          <w:r>
            <w:fldChar w:fldCharType="begin"/>
          </w:r>
          <w:r>
            <w:instrText xml:space="preserve"> PAGEREF _Toc7262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E2F7D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_Toc17485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阶段概述与目标回顾</w:t>
          </w:r>
          <w:r>
            <w:tab/>
          </w:r>
          <w:r>
            <w:fldChar w:fldCharType="begin"/>
          </w:r>
          <w:r>
            <w:instrText xml:space="preserve"> PAGEREF _Toc17485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2984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_Toc24285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主要工作成果与完成情况</w:t>
          </w:r>
          <w:r>
            <w:tab/>
          </w:r>
          <w:r>
            <w:fldChar w:fldCharType="begin"/>
          </w:r>
          <w:r>
            <w:instrText xml:space="preserve"> PAGEREF _Toc24285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C73BD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_Toc7811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服务部署与启动</w:t>
          </w:r>
          <w:r>
            <w:tab/>
          </w:r>
          <w:r>
            <w:fldChar w:fldCharType="begin"/>
          </w:r>
          <w:r>
            <w:instrText xml:space="preserve"> PAGEREF _Toc7811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73F0E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_Toc7750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lang w:eastAsia="zh-CN"/>
            </w:rPr>
            <w:t>数据清洗专项工作</w:t>
          </w:r>
          <w:r>
            <w:tab/>
          </w:r>
          <w:r>
            <w:fldChar w:fldCharType="begin"/>
          </w:r>
          <w:r>
            <w:instrText xml:space="preserve"> PAGEREF _Toc7750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F231A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_Toc23756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日常响应与问题处理</w:t>
          </w:r>
          <w:r>
            <w:tab/>
          </w:r>
          <w:r>
            <w:fldChar w:fldCharType="begin"/>
          </w:r>
          <w:r>
            <w:instrText xml:space="preserve"> PAGEREF _Toc23756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2F95E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_Toc14844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系统优化与培训</w:t>
          </w:r>
          <w:r>
            <w:tab/>
          </w:r>
          <w:r>
            <w:fldChar w:fldCharType="begin"/>
          </w:r>
          <w:r>
            <w:instrText xml:space="preserve"> PAGEREF _Toc14844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1682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_Toc8595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关键绩效指标（KPI）与交付物达成情况</w:t>
          </w:r>
          <w:r>
            <w:tab/>
          </w:r>
          <w:r>
            <w:fldChar w:fldCharType="begin"/>
          </w:r>
          <w:r>
            <w:instrText xml:space="preserve"> PAGEREF _Toc8595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1293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_Toc20750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_Toc20750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5C0EC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_Toc9420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关键交付物完成情况</w:t>
          </w:r>
          <w:r>
            <w:tab/>
          </w:r>
          <w:r>
            <w:fldChar w:fldCharType="begin"/>
          </w:r>
          <w:r>
            <w:instrText xml:space="preserve"> PAGEREF _Toc9420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AB6FD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遇到的问题、解决方案与经验总结</w:t>
          </w:r>
          <w:r>
            <w:tab/>
          </w:r>
          <w:r>
            <w:fldChar w:fldCharType="begin"/>
          </w:r>
          <w:r>
            <w:instrText xml:space="preserve"> PAGEREF _Toc1077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4A47A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_Toc4732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主要问题与挑战</w:t>
          </w:r>
          <w:r>
            <w:tab/>
          </w:r>
          <w:r>
            <w:fldChar w:fldCharType="begin"/>
          </w:r>
          <w:r>
            <w:instrText xml:space="preserve"> PAGEREF _Toc4732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CDAD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_Toc27856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解决方案与措施</w:t>
          </w:r>
          <w:r>
            <w:tab/>
          </w:r>
          <w:r>
            <w:fldChar w:fldCharType="begin"/>
          </w:r>
          <w:r>
            <w:instrText xml:space="preserve"> PAGEREF _Toc27856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A2DF1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_Toc28237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4.3. </w:t>
          </w:r>
          <w:r>
            <w:rPr>
              <w:rFonts w:hint="eastAsia"/>
              <w:lang w:eastAsia="zh-CN"/>
            </w:rPr>
            <w:t>经验总结</w:t>
          </w:r>
          <w:r>
            <w:tab/>
          </w:r>
          <w:r>
            <w:fldChar w:fldCharType="begin"/>
          </w:r>
          <w:r>
            <w:instrText xml:space="preserve"> PAGEREF _Toc28237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CFAB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_Toc6295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下一阶段详细计划</w:t>
          </w:r>
          <w:r>
            <w:tab/>
          </w:r>
          <w:r>
            <w:fldChar w:fldCharType="begin"/>
          </w:r>
          <w:r>
            <w:instrText xml:space="preserve"> PAGEREF _Toc6295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BB01A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_Toc11495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当前主要风险评估与建议</w:t>
          </w:r>
          <w:r>
            <w:tab/>
          </w:r>
          <w:r>
            <w:fldChar w:fldCharType="begin"/>
          </w:r>
          <w:r>
            <w:instrText xml:space="preserve"> PAGEREF _Toc11495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CDD20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_Toc6178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lang w:eastAsia="zh-CN"/>
            </w:rPr>
            <w:t>结论与提请决策事项</w:t>
          </w:r>
          <w:r>
            <w:tab/>
          </w:r>
          <w:r>
            <w:fldChar w:fldCharType="begin"/>
          </w:r>
          <w:r>
            <w:instrText xml:space="preserve"> PAGEREF _Toc6178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49398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_Toc30947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7.1. </w:t>
          </w:r>
          <w:r>
            <w:rPr>
              <w:rFonts w:hint="eastAsia"/>
              <w:lang w:eastAsia="zh-C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_Toc30947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A7B7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_Toc24185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7.2. </w:t>
          </w:r>
          <w:r>
            <w:rPr>
              <w:rFonts w:hint="eastAsia"/>
              <w:lang w:eastAsia="zh-CN"/>
            </w:rPr>
            <w:t>提请决策事项</w:t>
          </w:r>
          <w:r>
            <w:tab/>
          </w:r>
          <w:r>
            <w:fldChar w:fldCharType="begin"/>
          </w:r>
          <w:r>
            <w:instrText xml:space="preserve"> PAGEREF _Toc24185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40F2B21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FA1F9CB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0EC1D0BE">
      <w:pPr>
        <w:pStyle w:val="29"/>
        <w:rPr>
          <w:lang w:eastAsia="zh-CN"/>
        </w:rPr>
      </w:pPr>
      <w:bookmarkStart w:id="2" w:name="_Toc17485"/>
      <w:r>
        <w:rPr>
          <w:lang w:eastAsia="zh-CN"/>
        </w:rPr>
        <w:t>阶段概述与目标回顾</w:t>
      </w:r>
      <w:bookmarkEnd w:id="2"/>
    </w:p>
    <w:p w14:paraId="099E19E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本报告旨在对“陕西华龙制药有限公司SPS产品支持服务项目”自2025年7月启动至2025年12月底，为期六个月的服务实施情况进行全面总结与评估。</w:t>
      </w:r>
    </w:p>
    <w:p w14:paraId="04FF029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核心目标是完成项目启动与现状调研、服务部署与数据清洗、系统优化与培训三大关键任务，建立起规范化、标准化的SPS服务交付体系，确保ERP系统稳定运行，核心业务数据质量达标，为客户提供高效、专业的技术支持服务。</w:t>
      </w:r>
    </w:p>
    <w:p w14:paraId="45174A8D">
      <w:pPr>
        <w:pStyle w:val="30"/>
        <w:widowControl w:val="0"/>
        <w:ind w:firstLine="480"/>
      </w:pPr>
      <w:r>
        <w:rPr>
          <w:rFonts w:hint="eastAsia"/>
        </w:rPr>
        <w:t>本阶段工作严格遵循《项目总体实施方案》的规划，涵盖了项目启动、服务部署、数据清洗专项实施、日常服务响应、系统优化及客户培训等核心内容。现将主要工作成果、关键指标达成情况、遇到的问题及下一阶段计划汇报如下。</w:t>
      </w:r>
    </w:p>
    <w:p w14:paraId="7B1F7825">
      <w:pPr>
        <w:pStyle w:val="29"/>
        <w:rPr>
          <w:lang w:eastAsia="zh-CN"/>
        </w:rPr>
      </w:pPr>
      <w:bookmarkStart w:id="3" w:name="_Toc24285"/>
      <w:r>
        <w:rPr>
          <w:lang w:eastAsia="zh-CN"/>
        </w:rPr>
        <w:t>主要工作成果与完成情况</w:t>
      </w:r>
      <w:bookmarkEnd w:id="3"/>
    </w:p>
    <w:p w14:paraId="5BC8BD81">
      <w:pPr>
        <w:pStyle w:val="31"/>
        <w:bidi w:val="0"/>
        <w:rPr>
          <w:rFonts w:hint="default"/>
          <w:lang w:val="en-US" w:eastAsia="zh-CN"/>
        </w:rPr>
      </w:pPr>
      <w:bookmarkStart w:id="4" w:name="_Toc7811"/>
      <w:r>
        <w:rPr>
          <w:rFonts w:hint="eastAsia"/>
          <w:lang w:val="en-US" w:eastAsia="zh-CN"/>
        </w:rPr>
        <w:t>服务部署与启动</w:t>
      </w:r>
      <w:bookmarkEnd w:id="4"/>
    </w:p>
    <w:p w14:paraId="6F03D42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项目启动阶段各项工作按计划顺利完成。2025年7月10日，双方项目团队召开项目启动会，正式建立沟通机制，明确各自职责与汇报流程。随后项目组完成了客户ERP系统环境的全面调研，收集了系统版本、模块构成、部署方式、用户规模等关键信息，为后续服务开展奠定了坚实基础。</w:t>
      </w:r>
    </w:p>
    <w:p w14:paraId="525CEACB">
      <w:pPr>
        <w:pStyle w:val="30"/>
        <w:widowControl w:val="0"/>
        <w:ind w:firstLine="480"/>
      </w:pPr>
      <w:r>
        <w:rPr>
          <w:rFonts w:hint="eastAsia"/>
        </w:rPr>
        <w:t>服务基础设施方面，项目组建立了客户专属服务档案并录入服务管理系统，为客户开通了畅捷通伙伴中心服务权限，配置了知识库访问通道。2025年8月，项目组完成了首次系统体检，生成《系统体检报告》，发现并解决了3项潜在问题。同时，《SPS服务执行计划》与《数据清洗详细实施计划》两份纲领性文件正式发布，明确了后续工作的具体安排。</w:t>
      </w:r>
    </w:p>
    <w:p w14:paraId="63B1DCEE">
      <w:pPr>
        <w:pStyle w:val="31"/>
        <w:rPr>
          <w:lang w:eastAsia="zh-CN"/>
        </w:rPr>
      </w:pPr>
      <w:bookmarkStart w:id="5" w:name="_Toc7750"/>
      <w:r>
        <w:rPr>
          <w:lang w:eastAsia="zh-CN"/>
        </w:rPr>
        <w:t>数据清洗专项工作</w:t>
      </w:r>
      <w:bookmarkEnd w:id="5"/>
    </w:p>
    <w:p w14:paraId="11B1249A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数据清洗作为本项目的关键专项工作，已按计划圆满完成。2025年8月，项目组完成了生产管理、库存管理、质量管理、财务管理、采购与供应商、设备运维、系统日志等七类数据域的清洗规则开发，并通过单元测试和集成测试验证，提交了《数据清洗模块测试报告》。</w:t>
      </w:r>
    </w:p>
    <w:p w14:paraId="664C44C3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2025年9月，数据质量监控看板正式上线，实现了各项KPI的实时可视化监控，同时建立了数据质量日报机制，每日推送质量报告，异常情况能够及时预警。9月至10月期间，数据清洗系统进行了连续15天的试运行，各项KPI持续达标。</w:t>
      </w:r>
    </w:p>
    <w:p w14:paraId="7E07CA25">
      <w:pPr>
        <w:pStyle w:val="30"/>
        <w:rPr>
          <w:lang w:eastAsia="zh-CN"/>
        </w:rPr>
      </w:pPr>
      <w:r>
        <w:rPr>
          <w:rFonts w:hint="eastAsia"/>
          <w:lang w:eastAsia="zh-CN"/>
        </w:rPr>
        <w:t>2025年11月，项目组完成了数据质量深度分析，提交了《数据质量分析报告》，识别出5项优化点，并根据实际运行情况对清洗规则进行了三次优化调整，进一步提升数据准确性。目前数据清洗系统运行稳定，核心业务数据质量良好。</w:t>
      </w:r>
    </w:p>
    <w:p w14:paraId="3EC475D4">
      <w:pPr>
        <w:pStyle w:val="31"/>
        <w:rPr>
          <w:lang w:eastAsia="zh-CN"/>
        </w:rPr>
      </w:pPr>
      <w:bookmarkStart w:id="6" w:name="_Toc23756"/>
      <w:r>
        <w:rPr>
          <w:rFonts w:hint="eastAsia"/>
          <w:lang w:val="en-US" w:eastAsia="zh-CN"/>
        </w:rPr>
        <w:t>日常响应与问题处理</w:t>
      </w:r>
      <w:bookmarkEnd w:id="6"/>
    </w:p>
    <w:p w14:paraId="51E13CD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在为期六个月的服务期内，项目组累计受理并处理服务工单68个，所有工单均按时关闭，关闭率达到100%。平均响应时间为13分钟，远优于SLA要求的30分钟；平均解决时间为2.3小时，优于SLA要求的4小时。</w:t>
      </w:r>
    </w:p>
    <w:p w14:paraId="184D8D33">
      <w:pPr>
        <w:pStyle w:val="30"/>
        <w:widowControl w:val="0"/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软件运维工程师</w:t>
      </w:r>
      <w:r>
        <w:rPr>
          <w:rFonts w:hint="default"/>
        </w:rPr>
        <w:t>徐亚楠优化了查询语句并添加必要索引，使响应时间降至0.8秒</w:t>
      </w:r>
      <w:r>
        <w:rPr>
          <w:rFonts w:hint="eastAsia"/>
          <w:lang w:eastAsia="zh-CN"/>
        </w:rPr>
        <w:t>。</w:t>
      </w:r>
    </w:p>
    <w:p w14:paraId="31CBE62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从问题类型来看，操作咨询类问题占比41%，系统报错类占比22%，数据异常类占比18%，性能问题类占比12%，其他类型占比7%。所有问题均得到妥善解决，客户满意度评分平均达到98.5分，高于目标值95.5分。</w:t>
      </w:r>
    </w:p>
    <w:p w14:paraId="218755D8">
      <w:pPr>
        <w:pStyle w:val="30"/>
        <w:widowControl w:val="0"/>
        <w:ind w:firstLine="480"/>
      </w:pPr>
      <w:r>
        <w:rPr>
          <w:rFonts w:hint="eastAsia"/>
        </w:rPr>
        <w:t>知识库建设方面，项目组累计新增知识条目24条，知识利用率达到94%，有效提升了一线问题解决效率，减少了重复性问题的处理时间。</w:t>
      </w:r>
    </w:p>
    <w:p w14:paraId="7DF336C6">
      <w:pPr>
        <w:pStyle w:val="31"/>
        <w:bidi w:val="0"/>
        <w:rPr>
          <w:rFonts w:hint="eastAsia"/>
          <w:lang w:val="en-US" w:eastAsia="zh-CN"/>
        </w:rPr>
      </w:pPr>
      <w:bookmarkStart w:id="7" w:name="_Toc14844"/>
      <w:r>
        <w:rPr>
          <w:rFonts w:hint="eastAsia"/>
          <w:lang w:val="en-US" w:eastAsia="zh-CN"/>
        </w:rPr>
        <w:t>系统优化与培训</w:t>
      </w:r>
      <w:bookmarkEnd w:id="7"/>
    </w:p>
    <w:p w14:paraId="1A897342">
      <w:pPr>
        <w:pStyle w:val="30"/>
        <w:widowControl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系统优化方面，项目组于2025年10月完成了历史问题数据分析，识别出8类高频故障和5项潜在风险，并据此编制了《常见故障处理手册》，共42页，汇编了典型问题的解决方案。</w:t>
      </w:r>
    </w:p>
    <w:p w14:paraId="52862195">
      <w:pPr>
        <w:pStyle w:val="30"/>
        <w:widowControl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研发工程师赵薇提供了数据库性能优化建议2项、系统配置优化建议3项</w:t>
      </w:r>
      <w:r>
        <w:rPr>
          <w:rFonts w:hint="eastAsia"/>
          <w:lang w:val="en-US" w:eastAsia="zh-CN"/>
        </w:rPr>
        <w:t>。</w:t>
      </w:r>
    </w:p>
    <w:p w14:paraId="0CC73368">
      <w:pPr>
        <w:pStyle w:val="30"/>
        <w:widowControl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培训方面，项目组分层次开展了三次专题培训。2025年10月，组织SPS服务资源使用培训，培训客户关键用户8人，覆盖知识库、伙伴中心的使用方法；2025年11月，组织数据质量意识培训，培训业务人员12人，提升数据质量意识；同月，组织系统体检工具培训，培训信息部人员3人，使其掌握自助体检方法。三次培训满意度均在97%以上。</w:t>
      </w:r>
    </w:p>
    <w:p w14:paraId="08EE5696">
      <w:pPr>
        <w:pStyle w:val="30"/>
        <w:widowControl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此外，项目组还提供了数据库性能优化建议2项、系统配置优化建议3项，得到客户认可并部分采纳。</w:t>
      </w:r>
    </w:p>
    <w:p w14:paraId="16379565">
      <w:pPr>
        <w:pStyle w:val="29"/>
        <w:rPr>
          <w:lang w:eastAsia="zh-CN"/>
        </w:rPr>
      </w:pPr>
      <w:bookmarkStart w:id="8" w:name="_Toc8595"/>
      <w:r>
        <w:rPr>
          <w:lang w:eastAsia="zh-CN"/>
        </w:rPr>
        <w:t>关键绩效指标（KPI）与交付物达成情况</w:t>
      </w:r>
      <w:bookmarkEnd w:id="8"/>
    </w:p>
    <w:p w14:paraId="3C4A68AB">
      <w:pPr>
        <w:pStyle w:val="31"/>
        <w:bidi w:val="0"/>
        <w:rPr>
          <w:rFonts w:hint="eastAsia"/>
        </w:rPr>
      </w:pPr>
      <w:bookmarkStart w:id="9" w:name="_Toc20750"/>
      <w:r>
        <w:rPr>
          <w:rFonts w:hint="eastAsia"/>
        </w:rPr>
        <w:t>关键绩效指标达成情况</w:t>
      </w:r>
      <w:bookmarkEnd w:id="9"/>
    </w:p>
    <w:p w14:paraId="3599D96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各项关键绩效指标均达成或优于目标值。服务响应方面，平均响应时间13分钟，远优于30分钟的目标值；平均解决时间2.3小时，优于4小时的目标值；工单关闭率达到100%。数据质量方面，核心字段填充率达到99.4%，优于99%的目标值；关键业务数据准确率达到97.</w:t>
      </w:r>
      <w:r>
        <w:rPr>
          <w:rFonts w:hint="eastAsia"/>
          <w:lang w:val="en-US" w:eastAsia="zh-CN"/>
        </w:rPr>
        <w:t>2</w:t>
      </w:r>
      <w:bookmarkStart w:id="20" w:name="_GoBack"/>
      <w:bookmarkEnd w:id="20"/>
      <w:r>
        <w:rPr>
          <w:rFonts w:hint="eastAsia"/>
        </w:rPr>
        <w:t>%，优于95%的目标值；主数据一致率达到100%。客户满意度方面，满意度评分平均98.5分，优于95.5分的目标值；回访覆盖率达到100%。知识管理方面，知识利用率达到94%，优于90%的目标值。</w:t>
      </w:r>
    </w:p>
    <w:p w14:paraId="7CDFDC4E">
      <w:pPr>
        <w:pStyle w:val="31"/>
        <w:bidi w:val="0"/>
        <w:rPr>
          <w:rFonts w:hint="eastAsia"/>
        </w:rPr>
      </w:pPr>
      <w:bookmarkStart w:id="10" w:name="_Toc9420"/>
      <w:r>
        <w:rPr>
          <w:rFonts w:hint="eastAsia"/>
        </w:rPr>
        <w:t>关键交付物完成情况</w:t>
      </w:r>
      <w:bookmarkEnd w:id="10"/>
    </w:p>
    <w:p w14:paraId="57E9AD8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计划内的所有关键交付物均已按时提交。项目启动阶段提交了《项目启动会纪要》《客户系统现状调研报告》《SPS服务执行计划》《数据清洗详细实施计划》。数据清洗阶段提交了《系统体检报告》《数据清洗模块测试报告》，并上线了数据质量监控看板。日常服务阶段，每月5日按时提交月度《SPS服务月报》。系统优化阶段提交了《数据质量分析报告》《常见故障处理手册》《培训记录》以及季度《服务质量总结报告》。巡检工作方面，每月按时提交《巡检记录》。所有交付物内容完整、格式规范，符合合同要求。</w:t>
      </w:r>
    </w:p>
    <w:p w14:paraId="2CEAB925">
      <w:pPr>
        <w:pStyle w:val="30"/>
        <w:widowControl w:val="0"/>
        <w:ind w:firstLine="480"/>
      </w:pPr>
    </w:p>
    <w:p w14:paraId="4FF0B41F">
      <w:pPr>
        <w:pStyle w:val="29"/>
        <w:rPr>
          <w:lang w:eastAsia="zh-CN"/>
        </w:rPr>
      </w:pPr>
      <w:bookmarkStart w:id="11" w:name="_Toc1077"/>
      <w:r>
        <w:rPr>
          <w:lang w:eastAsia="zh-CN"/>
        </w:rPr>
        <w:t>遇到的问题、解决方案与经验总结</w:t>
      </w:r>
      <w:bookmarkEnd w:id="11"/>
    </w:p>
    <w:p w14:paraId="56C99A8E">
      <w:pPr>
        <w:pStyle w:val="31"/>
        <w:bidi w:val="0"/>
        <w:rPr>
          <w:rFonts w:hint="eastAsia"/>
          <w:lang w:eastAsia="zh-CN"/>
        </w:rPr>
      </w:pPr>
      <w:bookmarkStart w:id="12" w:name="_Toc4732"/>
      <w:r>
        <w:rPr>
          <w:rFonts w:hint="eastAsia"/>
          <w:lang w:eastAsia="zh-CN"/>
        </w:rPr>
        <w:t>主要问题与挑战</w:t>
      </w:r>
      <w:bookmarkEnd w:id="12"/>
    </w:p>
    <w:p w14:paraId="2EA98258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本阶段实施过程中遇到的主要问题包括：数据清洗规则初期对BOM版本变更场景覆盖不全，导致部分数据未被正确清洗；库存管理模块月结报表查询响应时间长达12秒，影响用户体验；知识库更新滞后，部分典型问题未及时入库；初期与客户沟通不够充分，导致数据清洗规则需要调整；客户关键用户发生变动，新接手人员不熟悉系统和服务流程。</w:t>
      </w:r>
    </w:p>
    <w:p w14:paraId="0F9D3D24">
      <w:pPr>
        <w:pStyle w:val="31"/>
        <w:bidi w:val="0"/>
        <w:rPr>
          <w:rFonts w:hint="eastAsia"/>
          <w:lang w:eastAsia="zh-CN"/>
        </w:rPr>
      </w:pPr>
      <w:bookmarkStart w:id="13" w:name="_Toc27856"/>
      <w:r>
        <w:rPr>
          <w:rFonts w:hint="eastAsia"/>
          <w:lang w:eastAsia="zh-CN"/>
        </w:rPr>
        <w:t>解决方案与措施</w:t>
      </w:r>
      <w:bookmarkEnd w:id="13"/>
    </w:p>
    <w:p w14:paraId="5BB31AE8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针对数据清洗规则覆盖不全的问题，项目组及时完善了BOM版本变更检测规则，补充了相关校验逻辑，确保规则全面覆盖。针对报表查询慢的问题，</w:t>
      </w:r>
      <w:r>
        <w:rPr>
          <w:rFonts w:hint="eastAsia"/>
          <w:lang w:val="en-US" w:eastAsia="zh-CN"/>
        </w:rPr>
        <w:t>软件运维</w:t>
      </w:r>
      <w:r>
        <w:rPr>
          <w:rFonts w:hint="eastAsia"/>
          <w:lang w:eastAsia="zh-CN"/>
        </w:rPr>
        <w:t>工程师优化了查询语句并添加必要索引，使响应时间降至0.8秒。针对知识库更新滞后，项目组建立了问题处理与知识库更新的联动机制，确保问题关闭后24小时内完成知识入库。针对需求理解偏差，项目组与客户生产、财务、仓储等业务部门深入沟通，重新确认业务逻辑，建立了“双周迭代评审会”机制。针对客户人员变动，项目组为新接手人员提供一对一培训，并移交了历史问题处理记录。</w:t>
      </w:r>
    </w:p>
    <w:p w14:paraId="1A8B3A49">
      <w:pPr>
        <w:pStyle w:val="31"/>
        <w:bidi w:val="0"/>
        <w:rPr>
          <w:rFonts w:hint="eastAsia"/>
          <w:lang w:eastAsia="zh-CN"/>
        </w:rPr>
      </w:pPr>
      <w:bookmarkStart w:id="14" w:name="_Toc28237"/>
      <w:r>
        <w:rPr>
          <w:rFonts w:hint="eastAsia"/>
          <w:lang w:eastAsia="zh-CN"/>
        </w:rPr>
        <w:t>经验总结</w:t>
      </w:r>
      <w:bookmarkEnd w:id="14"/>
    </w:p>
    <w:p w14:paraId="70163A20">
      <w:pPr>
        <w:pStyle w:val="30"/>
        <w:rPr>
          <w:lang w:eastAsia="zh-CN"/>
        </w:rPr>
      </w:pPr>
      <w:r>
        <w:rPr>
          <w:rFonts w:hint="eastAsia"/>
          <w:lang w:eastAsia="zh-CN"/>
        </w:rPr>
        <w:t>通过本阶段的实施，项目组总结出以下经验：前期沟通至关重要，数据清洗规则开发前与客户业务部门充分沟通确认业务逻辑，可有效减少后期返工。知识库建设是降本增效的关键，随着知识条目的积累，一线问题解决效率明显提升，重复性问题处理时间缩短40%以上。数据质量需要持续监控，建立日盯盘机制，持续监控KPI指标，可实现问题的早发现、早处理。客户培训要分层分级，针对关键用户、业务人员、信息部人员分别设计不同深度的培训内容，培训效果更好。文档记录是经验的沉淀，工单记录、巡检记录、问题处理记录的规范化，不仅满足了过程追溯要求，也为知识库建设和后续人员交接提供了宝贵素材。</w:t>
      </w:r>
    </w:p>
    <w:p w14:paraId="6AAA252A">
      <w:pPr>
        <w:pStyle w:val="29"/>
        <w:rPr>
          <w:lang w:eastAsia="zh-CN"/>
        </w:rPr>
      </w:pPr>
      <w:bookmarkStart w:id="15" w:name="_Toc6295"/>
      <w:r>
        <w:rPr>
          <w:lang w:eastAsia="zh-CN"/>
        </w:rPr>
        <w:t>下一阶段详细计划</w:t>
      </w:r>
      <w:bookmarkEnd w:id="15"/>
    </w:p>
    <w:p w14:paraId="47B52D51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项目将于2026年1月进入“常态化运行与监控”阶段，持续至2026年5月。</w:t>
      </w:r>
    </w:p>
    <w:p w14:paraId="3072C663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2026年1月，项目组将持续受理日常服务请求，按SLA要求及时响应，并根据运行情况对数据清洗规则进行持续优化。同时，春节前将组织一次系统全面体检，确保节假日期间系统稳定运行。</w:t>
      </w:r>
    </w:p>
    <w:p w14:paraId="06CB0876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2026年2月，项目组将分析1-2月服务数据，识别优化机会，并组织客户年度需求调研，了解客户新一年度的服务期望。</w:t>
      </w:r>
    </w:p>
    <w:p w14:paraId="7D7EB0BF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2026年3月，项目组将提交第一季度《服务质量总结报告》，完成数据质量季度分析，并根据客户需求调整服务策略。</w:t>
      </w:r>
    </w:p>
    <w:p w14:paraId="075CC703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2026年4月，项目组将持续做好日常服务响应，同时进行知识库内容的更新与优化。</w:t>
      </w:r>
    </w:p>
    <w:p w14:paraId="7E154B19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2026年5月，项目组将启动年度服务收尾准备，汇总全年服务数据，开展客户深度访谈收集改进建议，并编制《年度服务总结报告》草案。</w:t>
      </w:r>
    </w:p>
    <w:p w14:paraId="4EAD3D6B">
      <w:pPr>
        <w:pStyle w:val="30"/>
        <w:rPr>
          <w:lang w:eastAsia="zh-CN"/>
        </w:rPr>
      </w:pPr>
      <w:r>
        <w:rPr>
          <w:rFonts w:hint="eastAsia"/>
          <w:lang w:eastAsia="zh-CN"/>
        </w:rPr>
        <w:t>2026年6月为年度总结与验收阶段，项目组将整理全年交付物清单形成完整服务档案，向客户汇报年度服务成果，协助客户完成服务满意度评价，配合客户完成服务验收并签署《服务验收单》，同时制定下一年度服务优化建议。</w:t>
      </w:r>
    </w:p>
    <w:p w14:paraId="18B3FCED">
      <w:pPr>
        <w:pStyle w:val="29"/>
        <w:rPr>
          <w:lang w:eastAsia="zh-CN"/>
        </w:rPr>
      </w:pPr>
      <w:bookmarkStart w:id="16" w:name="_Toc11495"/>
      <w:r>
        <w:rPr>
          <w:lang w:eastAsia="zh-CN"/>
        </w:rPr>
        <w:t>当前主要风险评估与建议</w:t>
      </w:r>
      <w:bookmarkEnd w:id="16"/>
    </w:p>
    <w:p w14:paraId="4589BC2A">
      <w:pPr>
        <w:pStyle w:val="30"/>
        <w:rPr>
          <w:lang w:eastAsia="zh-CN"/>
        </w:rPr>
      </w:pPr>
      <w:r>
        <w:rPr>
          <w:rFonts w:hint="eastAsia"/>
          <w:lang w:eastAsia="zh-CN"/>
        </w:rPr>
        <w:t>当前项目主要面临以下风险：春节前后系统访问量可能激增，性能压力增大。建议1月完成节前系统全面体检，与客户确认春节期间值班安排，建立应急预案。年度结转期间数据量激增，清洗任务可能超时。建议提前优化清洗任务调度，建立数据质量日盯盘机制，预留性能冗余。春节期间技术支持人员休假，响应可能延迟。建议建立节假日值班表，设置备岗机制，提前与客户沟通节假日服务安排。客户关键用户年度变动，新接手人员可能不熟悉服务流程。建议提前了解客户人员变动计划，为新接手人员提供专项培训，移交历史服务记录。年度验收时可能因交付物不全或KPI未达标导致验收延迟。建议提前2个月启动验收准备，每月检查交付物清单完成情况，持续跟踪KPI指标。</w:t>
      </w:r>
    </w:p>
    <w:p w14:paraId="4E6A2465">
      <w:pPr>
        <w:pStyle w:val="29"/>
        <w:rPr>
          <w:lang w:eastAsia="zh-CN"/>
        </w:rPr>
      </w:pPr>
      <w:bookmarkStart w:id="17" w:name="_Toc6178"/>
      <w:r>
        <w:rPr>
          <w:lang w:eastAsia="zh-CN"/>
        </w:rPr>
        <w:t>结论与提请决策事项</w:t>
      </w:r>
      <w:bookmarkEnd w:id="17"/>
    </w:p>
    <w:p w14:paraId="14C4905B">
      <w:pPr>
        <w:pStyle w:val="31"/>
        <w:bidi w:val="0"/>
        <w:rPr>
          <w:rFonts w:hint="eastAsia"/>
          <w:lang w:eastAsia="zh-CN"/>
        </w:rPr>
      </w:pPr>
      <w:bookmarkStart w:id="18" w:name="_Toc30947"/>
      <w:r>
        <w:rPr>
          <w:rFonts w:hint="eastAsia"/>
          <w:lang w:eastAsia="zh-CN"/>
        </w:rPr>
        <w:t>结论</w:t>
      </w:r>
      <w:bookmarkEnd w:id="18"/>
    </w:p>
    <w:p w14:paraId="67417FC6">
      <w:pPr>
        <w:pStyle w:val="30"/>
        <w:widowControl w:val="0"/>
        <w:ind w:firstLine="4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综上所述，陕西华龙制药有限公司SPS产品支持服务项目自2025年7月启动至2025年12月底，各项工作按计划圆满完成。服务体系建设完成，建立了规范化、标准化的SPS服务交付体系，服务响应及时，客户满意度高。数据质量达标，数据清洗专项工作成果显著，核心业务数据准确率、填充率等KPI持续达标。客户能力提升，通过系统性培训，客户团队自主运维能力有效增强。文档齐全，所有计划内交付物均已提交，过程记录完整可追溯。当前项目整体健康度良好，风险可控，具备进入下一阶段的条件。</w:t>
      </w:r>
    </w:p>
    <w:p w14:paraId="049A15BE">
      <w:pPr>
        <w:pStyle w:val="31"/>
        <w:bidi w:val="0"/>
        <w:rPr>
          <w:rFonts w:hint="eastAsia"/>
          <w:lang w:eastAsia="zh-CN"/>
        </w:rPr>
      </w:pPr>
      <w:bookmarkStart w:id="19" w:name="_Toc24185"/>
      <w:r>
        <w:rPr>
          <w:rFonts w:hint="eastAsia"/>
          <w:lang w:eastAsia="zh-CN"/>
        </w:rPr>
        <w:t>提请决策事项</w:t>
      </w:r>
      <w:bookmarkEnd w:id="19"/>
    </w:p>
    <w:p w14:paraId="087AFFFC">
      <w:pPr>
        <w:pStyle w:val="30"/>
        <w:widowControl w:val="0"/>
        <w:ind w:firstLine="4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提请批准项目于2026年1月正式进入“常态化运行与监控”阶段；确认春节节假日值班安排，以便提前与客户沟通；批准2026年5月启动年度验收准备工作。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88AC4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4069"/>
    <w:rsid w:val="03D15EBF"/>
    <w:rsid w:val="04536448"/>
    <w:rsid w:val="086647B8"/>
    <w:rsid w:val="0B301291"/>
    <w:rsid w:val="1305001D"/>
    <w:rsid w:val="1767603B"/>
    <w:rsid w:val="1D4A424A"/>
    <w:rsid w:val="1EC45B21"/>
    <w:rsid w:val="1ECE074D"/>
    <w:rsid w:val="212E1977"/>
    <w:rsid w:val="23825FAA"/>
    <w:rsid w:val="25D23219"/>
    <w:rsid w:val="28697739"/>
    <w:rsid w:val="2BB138D1"/>
    <w:rsid w:val="2CA51FB9"/>
    <w:rsid w:val="2DAD00C8"/>
    <w:rsid w:val="2F1F6DA3"/>
    <w:rsid w:val="2F234AE5"/>
    <w:rsid w:val="34EC3BCC"/>
    <w:rsid w:val="36FA25D0"/>
    <w:rsid w:val="389E24AD"/>
    <w:rsid w:val="3A1A4D37"/>
    <w:rsid w:val="3CFB2BFE"/>
    <w:rsid w:val="3EBF7C5B"/>
    <w:rsid w:val="440F405E"/>
    <w:rsid w:val="454A3C7C"/>
    <w:rsid w:val="47B651CB"/>
    <w:rsid w:val="49751537"/>
    <w:rsid w:val="531D5224"/>
    <w:rsid w:val="53AB5652"/>
    <w:rsid w:val="53D27C3B"/>
    <w:rsid w:val="548E3F00"/>
    <w:rsid w:val="54F63F7F"/>
    <w:rsid w:val="559E63C4"/>
    <w:rsid w:val="59CA59DA"/>
    <w:rsid w:val="5CA22C3E"/>
    <w:rsid w:val="69F12B0F"/>
    <w:rsid w:val="6EBC33D9"/>
    <w:rsid w:val="6F7301CD"/>
    <w:rsid w:val="70894A2F"/>
    <w:rsid w:val="712437CA"/>
    <w:rsid w:val="73C80CED"/>
    <w:rsid w:val="79092667"/>
    <w:rsid w:val="796055BB"/>
    <w:rsid w:val="7C99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4043</Words>
  <Characters>4340</Characters>
  <Lines>128</Lines>
  <Paragraphs>117</Paragraphs>
  <TotalTime>0</TotalTime>
  <ScaleCrop>false</ScaleCrop>
  <LinksUpToDate>false</LinksUpToDate>
  <CharactersWithSpaces>4418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2026-03-10T21:12:17Z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