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1D7965">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2-0-10</w:t>
      </w:r>
    </w:p>
    <w:p w14:paraId="5DC6ED55">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38BC752">
      <w:pPr>
        <w:pStyle w:val="24"/>
        <w:spacing w:after="1872"/>
        <w:rPr>
          <w:lang w:eastAsia="zh-CN"/>
        </w:rPr>
      </w:pPr>
      <w:bookmarkStart w:id="0" w:name="_Toc5738"/>
      <w:bookmarkStart w:id="1" w:name="_Toc23639"/>
      <w:r>
        <w:rPr>
          <w:lang w:eastAsia="zh-CN"/>
        </w:rPr>
        <w:t>陕西益利德软件科技有限公司</w:t>
      </w:r>
      <w:bookmarkEnd w:id="0"/>
      <w:bookmarkEnd w:id="1"/>
    </w:p>
    <w:p w14:paraId="146A6EC8">
      <w:pPr>
        <w:pStyle w:val="25"/>
        <w:spacing w:after="2808"/>
        <w:rPr>
          <w:rFonts w:hint="eastAsia"/>
        </w:rPr>
      </w:pPr>
      <w:bookmarkStart w:id="2" w:name="_Toc27593"/>
      <w:bookmarkStart w:id="3" w:name="_Toc1403"/>
      <w:r>
        <w:rPr>
          <w:rFonts w:hint="eastAsia"/>
          <w:lang w:eastAsia="zh-CN"/>
        </w:rPr>
        <w:t>运维服务质量管理</w:t>
      </w:r>
      <w:bookmarkEnd w:id="2"/>
      <w:r>
        <w:rPr>
          <w:rFonts w:hint="eastAsia"/>
          <w:lang w:eastAsia="zh-CN"/>
        </w:rPr>
        <w:t>报告</w:t>
      </w:r>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3FAC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228A7E7">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赵聪</w:t>
            </w:r>
          </w:p>
        </w:tc>
        <w:tc>
          <w:tcPr>
            <w:tcW w:w="4261" w:type="dxa"/>
          </w:tcPr>
          <w:p w14:paraId="7CBE1A10">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2025.12.30</w:t>
            </w:r>
          </w:p>
        </w:tc>
      </w:tr>
      <w:tr w14:paraId="3C75F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79D1606">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刘钢要</w:t>
            </w:r>
          </w:p>
        </w:tc>
        <w:tc>
          <w:tcPr>
            <w:tcW w:w="4261" w:type="dxa"/>
          </w:tcPr>
          <w:p w14:paraId="1062E19D">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2025.12.30</w:t>
            </w:r>
          </w:p>
        </w:tc>
      </w:tr>
      <w:tr w14:paraId="42F51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1506E9DE">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4546AA03">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2025.12.30</w:t>
            </w:r>
          </w:p>
        </w:tc>
      </w:tr>
    </w:tbl>
    <w:p w14:paraId="4E75B031">
      <w:r>
        <w:br w:type="page"/>
      </w:r>
    </w:p>
    <w:p w14:paraId="13F5301B">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28B3A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043294A">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6B93DF89">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22F37AF0">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71C01FE0">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7293DAA5">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2D37D8F7">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DC2CA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24842C9">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eastAsia="zh-CN"/>
              </w:rPr>
              <w:t>5</w:t>
            </w:r>
            <w:r>
              <w:rPr>
                <w:rFonts w:ascii="宋体" w:hAnsi="宋体" w:cs="宋体"/>
                <w:spacing w:val="3"/>
                <w:position w:val="1"/>
                <w:sz w:val="20"/>
                <w:szCs w:val="20"/>
              </w:rPr>
              <w:t>.1</w:t>
            </w:r>
            <w:r>
              <w:rPr>
                <w:rFonts w:hint="eastAsia" w:ascii="宋体" w:hAnsi="宋体" w:cs="宋体"/>
                <w:spacing w:val="3"/>
                <w:position w:val="1"/>
                <w:sz w:val="20"/>
                <w:szCs w:val="20"/>
                <w:lang w:eastAsia="zh-CN"/>
              </w:rPr>
              <w:t>2</w:t>
            </w:r>
            <w:r>
              <w:rPr>
                <w:rFonts w:ascii="宋体" w:hAnsi="宋体" w:cs="宋体"/>
                <w:spacing w:val="3"/>
                <w:position w:val="1"/>
                <w:sz w:val="20"/>
                <w:szCs w:val="20"/>
              </w:rPr>
              <w:t>.</w:t>
            </w:r>
            <w:r>
              <w:rPr>
                <w:rFonts w:hint="eastAsia" w:ascii="宋体" w:hAnsi="宋体" w:cs="宋体"/>
                <w:spacing w:val="3"/>
                <w:position w:val="1"/>
                <w:sz w:val="20"/>
                <w:szCs w:val="20"/>
                <w:lang w:eastAsia="zh-CN"/>
              </w:rPr>
              <w:t>30</w:t>
            </w:r>
          </w:p>
        </w:tc>
        <w:tc>
          <w:tcPr>
            <w:tcW w:w="919" w:type="dxa"/>
          </w:tcPr>
          <w:p w14:paraId="6936F64E">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7C93EDA4">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210AE94">
            <w:pPr>
              <w:spacing w:before="172" w:line="228" w:lineRule="auto"/>
              <w:ind w:left="313"/>
              <w:rPr>
                <w:rFonts w:hint="eastAsia" w:ascii="宋体" w:hAnsi="宋体" w:cs="宋体"/>
                <w:sz w:val="20"/>
                <w:szCs w:val="20"/>
                <w:lang w:eastAsia="zh-CN"/>
              </w:rPr>
            </w:pPr>
            <w:r>
              <w:rPr>
                <w:rFonts w:hint="eastAsia"/>
                <w:lang w:eastAsia="zh-CN"/>
              </w:rPr>
              <w:t>赵聪</w:t>
            </w:r>
          </w:p>
        </w:tc>
        <w:tc>
          <w:tcPr>
            <w:tcW w:w="1150" w:type="dxa"/>
          </w:tcPr>
          <w:p w14:paraId="6506434C">
            <w:pPr>
              <w:spacing w:before="172" w:line="228" w:lineRule="auto"/>
              <w:ind w:left="313"/>
              <w:rPr>
                <w:rFonts w:hint="eastAsia" w:ascii="宋体" w:hAnsi="宋体" w:cs="宋体"/>
                <w:spacing w:val="5"/>
                <w:sz w:val="20"/>
                <w:szCs w:val="20"/>
              </w:rPr>
            </w:pPr>
            <w:r>
              <w:rPr>
                <w:rFonts w:hint="eastAsia"/>
                <w:lang w:val="en-US" w:eastAsia="zh-CN"/>
              </w:rPr>
              <w:t>刘钢要</w:t>
            </w:r>
          </w:p>
        </w:tc>
        <w:tc>
          <w:tcPr>
            <w:tcW w:w="1240" w:type="dxa"/>
          </w:tcPr>
          <w:p w14:paraId="3C50AB27">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38E825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4D6570A">
            <w:pPr>
              <w:pStyle w:val="27"/>
              <w:rPr>
                <w:rFonts w:hint="eastAsia"/>
              </w:rPr>
            </w:pPr>
          </w:p>
        </w:tc>
        <w:tc>
          <w:tcPr>
            <w:tcW w:w="919" w:type="dxa"/>
          </w:tcPr>
          <w:p w14:paraId="1DD5E749">
            <w:pPr>
              <w:pStyle w:val="27"/>
              <w:rPr>
                <w:rFonts w:hint="eastAsia"/>
              </w:rPr>
            </w:pPr>
          </w:p>
        </w:tc>
        <w:tc>
          <w:tcPr>
            <w:tcW w:w="2289" w:type="dxa"/>
          </w:tcPr>
          <w:p w14:paraId="3216AE64">
            <w:pPr>
              <w:pStyle w:val="27"/>
              <w:rPr>
                <w:rFonts w:hint="eastAsia"/>
              </w:rPr>
            </w:pPr>
          </w:p>
        </w:tc>
        <w:tc>
          <w:tcPr>
            <w:tcW w:w="1148" w:type="dxa"/>
          </w:tcPr>
          <w:p w14:paraId="2B2D081F">
            <w:pPr>
              <w:spacing w:before="172" w:line="228" w:lineRule="auto"/>
              <w:ind w:left="313"/>
            </w:pPr>
          </w:p>
        </w:tc>
        <w:tc>
          <w:tcPr>
            <w:tcW w:w="1150" w:type="dxa"/>
          </w:tcPr>
          <w:p w14:paraId="799D6646">
            <w:pPr>
              <w:spacing w:before="172" w:line="228" w:lineRule="auto"/>
              <w:ind w:left="313"/>
            </w:pPr>
          </w:p>
        </w:tc>
        <w:tc>
          <w:tcPr>
            <w:tcW w:w="1240" w:type="dxa"/>
          </w:tcPr>
          <w:p w14:paraId="2669838B">
            <w:pPr>
              <w:pStyle w:val="27"/>
              <w:rPr>
                <w:rFonts w:hint="eastAsia"/>
              </w:rPr>
            </w:pPr>
          </w:p>
        </w:tc>
      </w:tr>
      <w:tr w14:paraId="5172BF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CF5FCC0">
            <w:pPr>
              <w:pStyle w:val="27"/>
              <w:rPr>
                <w:rFonts w:hint="eastAsia"/>
              </w:rPr>
            </w:pPr>
          </w:p>
        </w:tc>
        <w:tc>
          <w:tcPr>
            <w:tcW w:w="919" w:type="dxa"/>
          </w:tcPr>
          <w:p w14:paraId="43EE19C2">
            <w:pPr>
              <w:pStyle w:val="27"/>
              <w:rPr>
                <w:rFonts w:hint="eastAsia"/>
              </w:rPr>
            </w:pPr>
          </w:p>
        </w:tc>
        <w:tc>
          <w:tcPr>
            <w:tcW w:w="2289" w:type="dxa"/>
          </w:tcPr>
          <w:p w14:paraId="205EF04F">
            <w:pPr>
              <w:pStyle w:val="27"/>
              <w:rPr>
                <w:rFonts w:hint="eastAsia"/>
              </w:rPr>
            </w:pPr>
          </w:p>
        </w:tc>
        <w:tc>
          <w:tcPr>
            <w:tcW w:w="1148" w:type="dxa"/>
          </w:tcPr>
          <w:p w14:paraId="7535CF74">
            <w:pPr>
              <w:spacing w:before="173" w:line="229" w:lineRule="auto"/>
              <w:ind w:left="314"/>
            </w:pPr>
          </w:p>
        </w:tc>
        <w:tc>
          <w:tcPr>
            <w:tcW w:w="1150" w:type="dxa"/>
          </w:tcPr>
          <w:p w14:paraId="2C647D4B">
            <w:pPr>
              <w:spacing w:before="173" w:line="229" w:lineRule="auto"/>
              <w:ind w:left="314"/>
            </w:pPr>
          </w:p>
        </w:tc>
        <w:tc>
          <w:tcPr>
            <w:tcW w:w="1240" w:type="dxa"/>
          </w:tcPr>
          <w:p w14:paraId="26276C4E">
            <w:pPr>
              <w:pStyle w:val="27"/>
              <w:rPr>
                <w:rFonts w:hint="eastAsia"/>
              </w:rPr>
            </w:pPr>
          </w:p>
        </w:tc>
      </w:tr>
      <w:tr w14:paraId="2F5ABB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A352903">
            <w:pPr>
              <w:pStyle w:val="27"/>
              <w:rPr>
                <w:rFonts w:hint="eastAsia"/>
              </w:rPr>
            </w:pPr>
          </w:p>
        </w:tc>
        <w:tc>
          <w:tcPr>
            <w:tcW w:w="919" w:type="dxa"/>
          </w:tcPr>
          <w:p w14:paraId="24733680">
            <w:pPr>
              <w:pStyle w:val="27"/>
              <w:rPr>
                <w:rFonts w:hint="eastAsia"/>
              </w:rPr>
            </w:pPr>
          </w:p>
        </w:tc>
        <w:tc>
          <w:tcPr>
            <w:tcW w:w="2289" w:type="dxa"/>
          </w:tcPr>
          <w:p w14:paraId="72FEA13E">
            <w:pPr>
              <w:pStyle w:val="27"/>
              <w:rPr>
                <w:rFonts w:hint="eastAsia"/>
              </w:rPr>
            </w:pPr>
          </w:p>
        </w:tc>
        <w:tc>
          <w:tcPr>
            <w:tcW w:w="1148" w:type="dxa"/>
          </w:tcPr>
          <w:p w14:paraId="2D7CB213">
            <w:pPr>
              <w:pStyle w:val="27"/>
              <w:rPr>
                <w:rFonts w:hint="eastAsia"/>
              </w:rPr>
            </w:pPr>
          </w:p>
        </w:tc>
        <w:tc>
          <w:tcPr>
            <w:tcW w:w="1150" w:type="dxa"/>
          </w:tcPr>
          <w:p w14:paraId="23C841C5">
            <w:pPr>
              <w:pStyle w:val="27"/>
              <w:rPr>
                <w:rFonts w:hint="eastAsia"/>
              </w:rPr>
            </w:pPr>
          </w:p>
        </w:tc>
        <w:tc>
          <w:tcPr>
            <w:tcW w:w="1240" w:type="dxa"/>
          </w:tcPr>
          <w:p w14:paraId="548FE540">
            <w:pPr>
              <w:pStyle w:val="27"/>
              <w:rPr>
                <w:rFonts w:hint="eastAsia"/>
              </w:rPr>
            </w:pPr>
          </w:p>
        </w:tc>
      </w:tr>
      <w:tr w14:paraId="0996E2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6D4B251">
            <w:pPr>
              <w:pStyle w:val="27"/>
              <w:rPr>
                <w:rFonts w:hint="eastAsia"/>
              </w:rPr>
            </w:pPr>
          </w:p>
        </w:tc>
        <w:tc>
          <w:tcPr>
            <w:tcW w:w="919" w:type="dxa"/>
          </w:tcPr>
          <w:p w14:paraId="68C99AF9">
            <w:pPr>
              <w:pStyle w:val="27"/>
              <w:rPr>
                <w:rFonts w:hint="eastAsia"/>
              </w:rPr>
            </w:pPr>
          </w:p>
        </w:tc>
        <w:tc>
          <w:tcPr>
            <w:tcW w:w="2289" w:type="dxa"/>
          </w:tcPr>
          <w:p w14:paraId="194B4296">
            <w:pPr>
              <w:pStyle w:val="27"/>
              <w:rPr>
                <w:rFonts w:hint="eastAsia"/>
              </w:rPr>
            </w:pPr>
          </w:p>
        </w:tc>
        <w:tc>
          <w:tcPr>
            <w:tcW w:w="1148" w:type="dxa"/>
          </w:tcPr>
          <w:p w14:paraId="77463F31">
            <w:pPr>
              <w:pStyle w:val="27"/>
              <w:rPr>
                <w:rFonts w:hint="eastAsia"/>
              </w:rPr>
            </w:pPr>
          </w:p>
        </w:tc>
        <w:tc>
          <w:tcPr>
            <w:tcW w:w="1150" w:type="dxa"/>
          </w:tcPr>
          <w:p w14:paraId="5CF33EAC">
            <w:pPr>
              <w:pStyle w:val="27"/>
              <w:rPr>
                <w:rFonts w:hint="eastAsia"/>
              </w:rPr>
            </w:pPr>
          </w:p>
        </w:tc>
        <w:tc>
          <w:tcPr>
            <w:tcW w:w="1240" w:type="dxa"/>
          </w:tcPr>
          <w:p w14:paraId="7AB840B2">
            <w:pPr>
              <w:pStyle w:val="27"/>
              <w:rPr>
                <w:rFonts w:hint="eastAsia"/>
              </w:rPr>
            </w:pPr>
          </w:p>
        </w:tc>
      </w:tr>
      <w:tr w14:paraId="5F330E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C7484B4">
            <w:pPr>
              <w:pStyle w:val="27"/>
              <w:rPr>
                <w:rFonts w:hint="eastAsia"/>
              </w:rPr>
            </w:pPr>
          </w:p>
        </w:tc>
        <w:tc>
          <w:tcPr>
            <w:tcW w:w="919" w:type="dxa"/>
          </w:tcPr>
          <w:p w14:paraId="1D13DA57">
            <w:pPr>
              <w:pStyle w:val="27"/>
              <w:rPr>
                <w:rFonts w:hint="eastAsia"/>
              </w:rPr>
            </w:pPr>
          </w:p>
        </w:tc>
        <w:tc>
          <w:tcPr>
            <w:tcW w:w="2289" w:type="dxa"/>
          </w:tcPr>
          <w:p w14:paraId="1DABF348">
            <w:pPr>
              <w:pStyle w:val="27"/>
              <w:rPr>
                <w:rFonts w:hint="eastAsia"/>
              </w:rPr>
            </w:pPr>
          </w:p>
        </w:tc>
        <w:tc>
          <w:tcPr>
            <w:tcW w:w="1148" w:type="dxa"/>
          </w:tcPr>
          <w:p w14:paraId="68A0C30E">
            <w:pPr>
              <w:pStyle w:val="27"/>
              <w:rPr>
                <w:rFonts w:hint="eastAsia"/>
              </w:rPr>
            </w:pPr>
          </w:p>
        </w:tc>
        <w:tc>
          <w:tcPr>
            <w:tcW w:w="1150" w:type="dxa"/>
          </w:tcPr>
          <w:p w14:paraId="7A67EF3C">
            <w:pPr>
              <w:pStyle w:val="27"/>
              <w:rPr>
                <w:rFonts w:hint="eastAsia"/>
              </w:rPr>
            </w:pPr>
          </w:p>
        </w:tc>
        <w:tc>
          <w:tcPr>
            <w:tcW w:w="1240" w:type="dxa"/>
          </w:tcPr>
          <w:p w14:paraId="0051DA5F">
            <w:pPr>
              <w:pStyle w:val="27"/>
              <w:rPr>
                <w:rFonts w:hint="eastAsia"/>
              </w:rPr>
            </w:pPr>
          </w:p>
        </w:tc>
      </w:tr>
    </w:tbl>
    <w:p w14:paraId="44C05A35">
      <w:r>
        <w:br w:type="page"/>
      </w:r>
    </w:p>
    <w:sdt>
      <w:sdtPr>
        <w:rPr>
          <w:rFonts w:ascii="宋体" w:hAnsi="宋体"/>
        </w:rPr>
        <w:id w:val="147464621"/>
        <w:docPartObj>
          <w:docPartGallery w:val="Table of Contents"/>
          <w:docPartUnique/>
        </w:docPartObj>
      </w:sdtPr>
      <w:sdtEndPr>
        <w:rPr>
          <w:rFonts w:ascii="宋体" w:hAnsi="宋体"/>
        </w:rPr>
      </w:sdtEndPr>
      <w:sdtContent>
        <w:p w14:paraId="22518856">
          <w:pPr>
            <w:spacing w:line="240" w:lineRule="auto"/>
            <w:jc w:val="center"/>
          </w:pPr>
          <w:r>
            <w:rPr>
              <w:rFonts w:ascii="宋体" w:hAnsi="宋体"/>
            </w:rPr>
            <w:t>目录</w:t>
          </w:r>
        </w:p>
        <w:p w14:paraId="352AB02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_Toc23639 </w:instrText>
          </w:r>
          <w:r>
            <w:fldChar w:fldCharType="separate"/>
          </w:r>
          <w:r>
            <w:rPr>
              <w:lang w:eastAsia="zh-CN"/>
            </w:rPr>
            <w:t>陕西益利德软件科技有限公司</w:t>
          </w:r>
          <w:r>
            <w:tab/>
          </w:r>
          <w:r>
            <w:fldChar w:fldCharType="begin"/>
          </w:r>
          <w:r>
            <w:instrText xml:space="preserve"> PAGEREF _Toc23639 \h </w:instrText>
          </w:r>
          <w:r>
            <w:fldChar w:fldCharType="separate"/>
          </w:r>
          <w:r>
            <w:t>1</w:t>
          </w:r>
          <w:r>
            <w:fldChar w:fldCharType="end"/>
          </w:r>
          <w:r>
            <w:fldChar w:fldCharType="end"/>
          </w:r>
          <w:bookmarkStart w:id="15" w:name="_GoBack"/>
          <w:bookmarkEnd w:id="15"/>
        </w:p>
        <w:p w14:paraId="74EBD47B">
          <w:pPr>
            <w:pStyle w:val="16"/>
            <w:tabs>
              <w:tab w:val="right" w:leader="dot" w:pos="8306"/>
            </w:tabs>
          </w:pPr>
          <w:r>
            <w:fldChar w:fldCharType="begin"/>
          </w:r>
          <w:r>
            <w:instrText xml:space="preserve"> HYPERLINK \l _Toc1403 </w:instrText>
          </w:r>
          <w:r>
            <w:fldChar w:fldCharType="separate"/>
          </w:r>
          <w:r>
            <w:rPr>
              <w:rFonts w:hint="eastAsia"/>
              <w:lang w:eastAsia="zh-CN"/>
            </w:rPr>
            <w:t>运维服务质量管理报告</w:t>
          </w:r>
          <w:r>
            <w:tab/>
          </w:r>
          <w:r>
            <w:fldChar w:fldCharType="begin"/>
          </w:r>
          <w:r>
            <w:instrText xml:space="preserve"> PAGEREF _Toc1403 \h </w:instrText>
          </w:r>
          <w:r>
            <w:fldChar w:fldCharType="separate"/>
          </w:r>
          <w:r>
            <w:t>1</w:t>
          </w:r>
          <w:r>
            <w:fldChar w:fldCharType="end"/>
          </w:r>
          <w:r>
            <w:fldChar w:fldCharType="end"/>
          </w:r>
        </w:p>
        <w:p w14:paraId="661AE2D0">
          <w:pPr>
            <w:pStyle w:val="16"/>
            <w:tabs>
              <w:tab w:val="right" w:leader="dot" w:pos="8306"/>
            </w:tabs>
          </w:pPr>
          <w:r>
            <w:fldChar w:fldCharType="begin"/>
          </w:r>
          <w:r>
            <w:instrText xml:space="preserve"> HYPERLINK \l _Toc13355 </w:instrText>
          </w:r>
          <w:r>
            <w:fldChar w:fldCharType="separate"/>
          </w:r>
          <w:r>
            <w:rPr>
              <w:rFonts w:hint="default"/>
            </w:rPr>
            <w:t xml:space="preserve">1. </w:t>
          </w:r>
          <w:r>
            <w:rPr>
              <w:rFonts w:hint="eastAsia"/>
              <w:lang w:eastAsia="zh-CN"/>
            </w:rPr>
            <w:t>运维服务质量管理报告</w:t>
          </w:r>
          <w:r>
            <w:tab/>
          </w:r>
          <w:r>
            <w:fldChar w:fldCharType="begin"/>
          </w:r>
          <w:r>
            <w:instrText xml:space="preserve"> PAGEREF _Toc13355 \h </w:instrText>
          </w:r>
          <w:r>
            <w:fldChar w:fldCharType="separate"/>
          </w:r>
          <w:r>
            <w:t>4</w:t>
          </w:r>
          <w:r>
            <w:fldChar w:fldCharType="end"/>
          </w:r>
          <w:r>
            <w:fldChar w:fldCharType="end"/>
          </w:r>
        </w:p>
        <w:p w14:paraId="65AE66FA">
          <w:pPr>
            <w:pStyle w:val="17"/>
            <w:tabs>
              <w:tab w:val="right" w:leader="dot" w:pos="8306"/>
            </w:tabs>
          </w:pPr>
          <w:r>
            <w:fldChar w:fldCharType="begin"/>
          </w:r>
          <w:r>
            <w:instrText xml:space="preserve"> HYPERLINK \l _Toc32691 </w:instrText>
          </w:r>
          <w:r>
            <w:fldChar w:fldCharType="separate"/>
          </w:r>
          <w:r>
            <w:rPr>
              <w:rFonts w:hint="default"/>
              <w:lang w:eastAsia="zh-CN"/>
            </w:rPr>
            <w:t xml:space="preserve">1.1. </w:t>
          </w:r>
          <w:r>
            <w:rPr>
              <w:lang w:eastAsia="zh-CN"/>
            </w:rPr>
            <w:t>运维服务能力体系</w:t>
          </w:r>
          <w:r>
            <w:rPr>
              <w:rFonts w:hint="eastAsia"/>
              <w:lang w:eastAsia="zh-CN"/>
            </w:rPr>
            <w:t>内部审核</w:t>
          </w:r>
          <w:r>
            <w:tab/>
          </w:r>
          <w:r>
            <w:fldChar w:fldCharType="begin"/>
          </w:r>
          <w:r>
            <w:instrText xml:space="preserve"> PAGEREF _Toc32691 \h </w:instrText>
          </w:r>
          <w:r>
            <w:fldChar w:fldCharType="separate"/>
          </w:r>
          <w:r>
            <w:t>4</w:t>
          </w:r>
          <w:r>
            <w:fldChar w:fldCharType="end"/>
          </w:r>
          <w:r>
            <w:fldChar w:fldCharType="end"/>
          </w:r>
        </w:p>
        <w:p w14:paraId="78DE208D">
          <w:pPr>
            <w:pStyle w:val="17"/>
            <w:tabs>
              <w:tab w:val="right" w:leader="dot" w:pos="8306"/>
            </w:tabs>
          </w:pPr>
          <w:r>
            <w:fldChar w:fldCharType="begin"/>
          </w:r>
          <w:r>
            <w:instrText xml:space="preserve"> HYPERLINK \l _Toc21630 </w:instrText>
          </w:r>
          <w:r>
            <w:fldChar w:fldCharType="separate"/>
          </w:r>
          <w:r>
            <w:rPr>
              <w:rFonts w:hint="default"/>
              <w:lang w:eastAsia="zh-CN"/>
            </w:rPr>
            <w:t xml:space="preserve">1.2. </w:t>
          </w:r>
          <w:r>
            <w:rPr>
              <w:lang w:eastAsia="zh-CN"/>
            </w:rPr>
            <w:t>运维服务能力管理体系</w:t>
          </w:r>
          <w:r>
            <w:rPr>
              <w:rFonts w:hint="eastAsia"/>
              <w:lang w:eastAsia="zh-CN"/>
            </w:rPr>
            <w:t>管理</w:t>
          </w:r>
          <w:r>
            <w:rPr>
              <w:lang w:eastAsia="zh-CN"/>
            </w:rPr>
            <w:t>评审</w:t>
          </w:r>
          <w:r>
            <w:tab/>
          </w:r>
          <w:r>
            <w:fldChar w:fldCharType="begin"/>
          </w:r>
          <w:r>
            <w:instrText xml:space="preserve"> PAGEREF _Toc21630 \h </w:instrText>
          </w:r>
          <w:r>
            <w:fldChar w:fldCharType="separate"/>
          </w:r>
          <w:r>
            <w:t>4</w:t>
          </w:r>
          <w:r>
            <w:fldChar w:fldCharType="end"/>
          </w:r>
          <w:r>
            <w:fldChar w:fldCharType="end"/>
          </w:r>
        </w:p>
        <w:p w14:paraId="162AD264">
          <w:pPr>
            <w:pStyle w:val="17"/>
            <w:tabs>
              <w:tab w:val="right" w:leader="dot" w:pos="8306"/>
            </w:tabs>
          </w:pPr>
          <w:r>
            <w:fldChar w:fldCharType="begin"/>
          </w:r>
          <w:r>
            <w:instrText xml:space="preserve"> HYPERLINK \l _Toc13669 </w:instrText>
          </w:r>
          <w:r>
            <w:fldChar w:fldCharType="separate"/>
          </w:r>
          <w:r>
            <w:rPr>
              <w:rFonts w:hint="default"/>
              <w:lang w:eastAsia="zh-CN"/>
            </w:rPr>
            <w:t xml:space="preserve">1.3. </w:t>
          </w:r>
          <w:r>
            <w:t>客户满意度调查与分析</w:t>
          </w:r>
          <w:r>
            <w:tab/>
          </w:r>
          <w:r>
            <w:fldChar w:fldCharType="begin"/>
          </w:r>
          <w:r>
            <w:instrText xml:space="preserve"> PAGEREF _Toc13669 \h </w:instrText>
          </w:r>
          <w:r>
            <w:fldChar w:fldCharType="separate"/>
          </w:r>
          <w:r>
            <w:t>5</w:t>
          </w:r>
          <w:r>
            <w:fldChar w:fldCharType="end"/>
          </w:r>
          <w:r>
            <w:fldChar w:fldCharType="end"/>
          </w:r>
        </w:p>
        <w:p w14:paraId="2F09EA0A">
          <w:pPr>
            <w:pStyle w:val="17"/>
            <w:tabs>
              <w:tab w:val="right" w:leader="dot" w:pos="8306"/>
            </w:tabs>
          </w:pPr>
          <w:r>
            <w:fldChar w:fldCharType="begin"/>
          </w:r>
          <w:r>
            <w:instrText xml:space="preserve"> HYPERLINK \l _Toc9351 </w:instrText>
          </w:r>
          <w:r>
            <w:fldChar w:fldCharType="separate"/>
          </w:r>
          <w:r>
            <w:rPr>
              <w:rFonts w:hint="default"/>
              <w:lang w:eastAsia="zh-CN"/>
            </w:rPr>
            <w:t xml:space="preserve">1.4. </w:t>
          </w:r>
          <w:r>
            <w:rPr>
              <w:rFonts w:hint="eastAsia"/>
              <w:lang w:eastAsia="zh-CN"/>
            </w:rPr>
            <w:t>服务质量改进</w:t>
          </w:r>
          <w:r>
            <w:tab/>
          </w:r>
          <w:r>
            <w:fldChar w:fldCharType="begin"/>
          </w:r>
          <w:r>
            <w:instrText xml:space="preserve"> PAGEREF _Toc9351 \h </w:instrText>
          </w:r>
          <w:r>
            <w:fldChar w:fldCharType="separate"/>
          </w:r>
          <w:r>
            <w:t>5</w:t>
          </w:r>
          <w:r>
            <w:fldChar w:fldCharType="end"/>
          </w:r>
          <w:r>
            <w:fldChar w:fldCharType="end"/>
          </w:r>
        </w:p>
        <w:p w14:paraId="47F4D442">
          <w:pPr>
            <w:pStyle w:val="13"/>
            <w:tabs>
              <w:tab w:val="right" w:leader="dot" w:pos="8306"/>
            </w:tabs>
          </w:pPr>
          <w:r>
            <w:fldChar w:fldCharType="begin"/>
          </w:r>
          <w:r>
            <w:instrText xml:space="preserve"> HYPERLINK \l _Toc21131 </w:instrText>
          </w:r>
          <w:r>
            <w:fldChar w:fldCharType="separate"/>
          </w:r>
          <w:r>
            <w:rPr>
              <w:rFonts w:hint="default"/>
              <w:lang w:val="en-US" w:eastAsia="zh-CN"/>
            </w:rPr>
            <w:t xml:space="preserve">1.4.1. </w:t>
          </w:r>
          <w:r>
            <w:rPr>
              <w:rFonts w:hint="eastAsia"/>
              <w:lang w:val="en-US" w:eastAsia="zh-CN"/>
            </w:rPr>
            <w:t>针对内审不符合发现问题改进</w:t>
          </w:r>
          <w:r>
            <w:tab/>
          </w:r>
          <w:r>
            <w:fldChar w:fldCharType="begin"/>
          </w:r>
          <w:r>
            <w:instrText xml:space="preserve"> PAGEREF _Toc21131 \h </w:instrText>
          </w:r>
          <w:r>
            <w:fldChar w:fldCharType="separate"/>
          </w:r>
          <w:r>
            <w:t>5</w:t>
          </w:r>
          <w:r>
            <w:fldChar w:fldCharType="end"/>
          </w:r>
          <w:r>
            <w:fldChar w:fldCharType="end"/>
          </w:r>
        </w:p>
        <w:p w14:paraId="71370296">
          <w:pPr>
            <w:pStyle w:val="13"/>
            <w:tabs>
              <w:tab w:val="right" w:leader="dot" w:pos="8306"/>
            </w:tabs>
          </w:pPr>
          <w:r>
            <w:fldChar w:fldCharType="begin"/>
          </w:r>
          <w:r>
            <w:instrText xml:space="preserve"> HYPERLINK \l _Toc882 </w:instrText>
          </w:r>
          <w:r>
            <w:fldChar w:fldCharType="separate"/>
          </w:r>
          <w:r>
            <w:rPr>
              <w:rFonts w:hint="default"/>
              <w:lang w:val="en-US" w:eastAsia="zh-CN"/>
            </w:rPr>
            <w:t xml:space="preserve">1.4.2. </w:t>
          </w:r>
          <w:r>
            <w:rPr>
              <w:rFonts w:hint="eastAsia"/>
              <w:lang w:val="en-US" w:eastAsia="zh-CN"/>
            </w:rPr>
            <w:t>针对指标跟踪发现问题的改进</w:t>
          </w:r>
          <w:r>
            <w:tab/>
          </w:r>
          <w:r>
            <w:fldChar w:fldCharType="begin"/>
          </w:r>
          <w:r>
            <w:instrText xml:space="preserve"> PAGEREF _Toc882 \h </w:instrText>
          </w:r>
          <w:r>
            <w:fldChar w:fldCharType="separate"/>
          </w:r>
          <w:r>
            <w:t>5</w:t>
          </w:r>
          <w:r>
            <w:fldChar w:fldCharType="end"/>
          </w:r>
          <w:r>
            <w:fldChar w:fldCharType="end"/>
          </w:r>
        </w:p>
        <w:p w14:paraId="311C07D4">
          <w:pPr>
            <w:pStyle w:val="13"/>
            <w:tabs>
              <w:tab w:val="right" w:leader="dot" w:pos="8306"/>
            </w:tabs>
          </w:pPr>
          <w:r>
            <w:fldChar w:fldCharType="begin"/>
          </w:r>
          <w:r>
            <w:instrText xml:space="preserve"> HYPERLINK \l _Toc30803 </w:instrText>
          </w:r>
          <w:r>
            <w:fldChar w:fldCharType="separate"/>
          </w:r>
          <w:r>
            <w:rPr>
              <w:rFonts w:hint="default"/>
              <w:lang w:val="en-US" w:eastAsia="zh-CN"/>
            </w:rPr>
            <w:t xml:space="preserve">1.4.3. </w:t>
          </w:r>
          <w:r>
            <w:rPr>
              <w:rFonts w:hint="eastAsia"/>
              <w:lang w:val="en-US" w:eastAsia="zh-CN"/>
            </w:rPr>
            <w:t>针对客户满意度调查问题的改进</w:t>
          </w:r>
          <w:r>
            <w:tab/>
          </w:r>
          <w:r>
            <w:fldChar w:fldCharType="begin"/>
          </w:r>
          <w:r>
            <w:instrText xml:space="preserve"> PAGEREF _Toc30803 \h </w:instrText>
          </w:r>
          <w:r>
            <w:fldChar w:fldCharType="separate"/>
          </w:r>
          <w:r>
            <w:t>6</w:t>
          </w:r>
          <w:r>
            <w:fldChar w:fldCharType="end"/>
          </w:r>
          <w:r>
            <w:fldChar w:fldCharType="end"/>
          </w:r>
        </w:p>
        <w:p w14:paraId="709D5657">
          <w:r>
            <w:fldChar w:fldCharType="end"/>
          </w:r>
        </w:p>
      </w:sdtContent>
    </w:sdt>
    <w:p w14:paraId="5F063872"/>
    <w:p w14:paraId="0CB05C89">
      <w:r>
        <w:br w:type="page"/>
      </w:r>
    </w:p>
    <w:p w14:paraId="64DAB58E">
      <w:pPr>
        <w:pStyle w:val="28"/>
      </w:pPr>
      <w:bookmarkStart w:id="4" w:name="_Toc15082"/>
      <w:bookmarkStart w:id="5" w:name="_Toc13355"/>
      <w:r>
        <w:rPr>
          <w:rFonts w:hint="eastAsia"/>
          <w:lang w:eastAsia="zh-CN"/>
        </w:rPr>
        <w:t>运维服务质量管理报告</w:t>
      </w:r>
      <w:bookmarkEnd w:id="4"/>
      <w:bookmarkEnd w:id="5"/>
    </w:p>
    <w:p w14:paraId="3573F4DC">
      <w:pPr>
        <w:pStyle w:val="30"/>
        <w:bidi w:val="0"/>
        <w:rPr>
          <w:lang w:eastAsia="zh-CN"/>
        </w:rPr>
      </w:pPr>
      <w:bookmarkStart w:id="6" w:name="_Toc32691"/>
      <w:r>
        <w:rPr>
          <w:lang w:eastAsia="zh-CN"/>
        </w:rPr>
        <w:t>运维服务能力体系</w:t>
      </w:r>
      <w:r>
        <w:rPr>
          <w:rFonts w:hint="eastAsia"/>
          <w:lang w:eastAsia="zh-CN"/>
        </w:rPr>
        <w:t>内部审核</w:t>
      </w:r>
      <w:bookmarkEnd w:id="6"/>
    </w:p>
    <w:p w14:paraId="3C856175">
      <w:pPr>
        <w:pStyle w:val="29"/>
        <w:bidi w:val="0"/>
        <w:rPr>
          <w:rFonts w:hint="eastAsia"/>
          <w:lang w:eastAsia="zh-CN"/>
        </w:rPr>
      </w:pPr>
      <w:r>
        <w:rPr>
          <w:lang w:eastAsia="zh-CN"/>
        </w:rPr>
        <w:t>经过</w:t>
      </w:r>
      <w:r>
        <w:rPr>
          <w:rFonts w:hint="eastAsia"/>
          <w:lang w:val="en-US" w:eastAsia="zh-CN"/>
        </w:rPr>
        <w:t>六</w:t>
      </w:r>
      <w:r>
        <w:rPr>
          <w:lang w:eastAsia="zh-CN"/>
        </w:rPr>
        <w:t>个月的实施运行，202</w:t>
      </w:r>
      <w:r>
        <w:rPr>
          <w:rFonts w:hint="eastAsia"/>
          <w:lang w:val="en-US" w:eastAsia="zh-CN"/>
        </w:rPr>
        <w:t>5</w:t>
      </w:r>
      <w:r>
        <w:rPr>
          <w:lang w:eastAsia="zh-CN"/>
        </w:rPr>
        <w:t>年</w:t>
      </w:r>
      <w:r>
        <w:rPr>
          <w:rFonts w:hint="eastAsia"/>
          <w:lang w:eastAsia="zh-CN"/>
        </w:rPr>
        <w:t>1</w:t>
      </w:r>
      <w:r>
        <w:rPr>
          <w:rFonts w:hint="eastAsia"/>
          <w:lang w:val="en-US" w:eastAsia="zh-CN"/>
        </w:rPr>
        <w:t>2</w:t>
      </w:r>
      <w:r>
        <w:rPr>
          <w:lang w:eastAsia="zh-CN"/>
        </w:rPr>
        <w:t>月</w:t>
      </w:r>
      <w:r>
        <w:rPr>
          <w:rFonts w:hint="eastAsia"/>
          <w:lang w:eastAsia="zh-CN"/>
        </w:rPr>
        <w:t>15</w:t>
      </w:r>
      <w:r>
        <w:rPr>
          <w:lang w:eastAsia="zh-CN"/>
        </w:rPr>
        <w:t>-</w:t>
      </w:r>
      <w:r>
        <w:rPr>
          <w:rFonts w:hint="eastAsia"/>
          <w:lang w:eastAsia="zh-CN"/>
        </w:rPr>
        <w:t>16</w:t>
      </w:r>
      <w:r>
        <w:rPr>
          <w:lang w:eastAsia="zh-CN"/>
        </w:rPr>
        <w:t>日，根据运维服务</w:t>
      </w:r>
      <w:r>
        <w:rPr>
          <w:rFonts w:hint="eastAsia"/>
          <w:lang w:eastAsia="zh-CN"/>
        </w:rPr>
        <w:t>质量</w:t>
      </w:r>
      <w:r>
        <w:rPr>
          <w:lang w:eastAsia="zh-CN"/>
        </w:rPr>
        <w:t>管理计划的安排，</w:t>
      </w:r>
      <w:r>
        <w:rPr>
          <w:rFonts w:hint="eastAsia"/>
          <w:lang w:eastAsia="zh-CN"/>
        </w:rPr>
        <w:t>质量部</w:t>
      </w:r>
      <w:r>
        <w:rPr>
          <w:lang w:eastAsia="zh-CN"/>
        </w:rPr>
        <w:t>牵头组织了运维服务能力的内审活动。内审的对象主要是日常进行运维工作的交付部</w:t>
      </w:r>
      <w:r>
        <w:rPr>
          <w:rFonts w:hint="eastAsia"/>
          <w:lang w:eastAsia="zh-CN"/>
        </w:rPr>
        <w:t>、质量部、综合部、研发部和采购部</w:t>
      </w:r>
      <w:r>
        <w:rPr>
          <w:lang w:eastAsia="zh-CN"/>
        </w:rPr>
        <w:t>，通过运维服务活动及结果的审核，目的是为了确定运维服务活动是否符合调整后的运维体系要求。</w:t>
      </w:r>
    </w:p>
    <w:p w14:paraId="63F88E8F">
      <w:pPr>
        <w:pStyle w:val="29"/>
        <w:bidi w:val="0"/>
        <w:rPr>
          <w:rFonts w:hint="eastAsia"/>
          <w:lang w:eastAsia="zh-CN"/>
        </w:rPr>
      </w:pPr>
      <w:r>
        <w:rPr>
          <w:lang w:eastAsia="zh-CN"/>
        </w:rPr>
        <w:t>通过对具体工作的过程记录的检查、具体人员的访谈结果，可以看出公司的运维服务过程基本得到了有效地实施，运维服务人员储备、技术研发按预期计划有序开展，服务知识、服务台、服务数据等资源能满足运维服务要求。运维服务的规范性有了较大提高，服务得到客户肯定，客户满意度增强。</w:t>
      </w:r>
    </w:p>
    <w:p w14:paraId="5181E19C">
      <w:pPr>
        <w:pStyle w:val="29"/>
        <w:bidi w:val="0"/>
        <w:rPr>
          <w:rFonts w:hint="eastAsia"/>
          <w:lang w:eastAsia="zh-CN"/>
        </w:rPr>
      </w:pPr>
      <w:r>
        <w:rPr>
          <w:lang w:eastAsia="zh-CN"/>
        </w:rPr>
        <w:t>审核共发现1份不合格项，为一般性的不合格，已得到了整改。</w:t>
      </w:r>
    </w:p>
    <w:p w14:paraId="7EB8F975">
      <w:pPr>
        <w:pStyle w:val="12"/>
        <w:spacing w:line="259" w:lineRule="auto"/>
        <w:rPr>
          <w:lang w:eastAsia="zh-CN"/>
        </w:rPr>
      </w:pPr>
    </w:p>
    <w:p w14:paraId="1946EAE7">
      <w:pPr>
        <w:pStyle w:val="30"/>
        <w:bidi w:val="0"/>
        <w:rPr>
          <w:lang w:eastAsia="zh-CN"/>
        </w:rPr>
      </w:pPr>
      <w:bookmarkStart w:id="7" w:name="bookmark1"/>
      <w:bookmarkEnd w:id="7"/>
      <w:bookmarkStart w:id="8" w:name="_Toc21630"/>
      <w:r>
        <w:rPr>
          <w:lang w:eastAsia="zh-CN"/>
        </w:rPr>
        <w:t>运维服务能力管理体系</w:t>
      </w:r>
      <w:r>
        <w:rPr>
          <w:rFonts w:hint="eastAsia"/>
          <w:lang w:eastAsia="zh-CN"/>
        </w:rPr>
        <w:t>管理</w:t>
      </w:r>
      <w:r>
        <w:rPr>
          <w:lang w:eastAsia="zh-CN"/>
        </w:rPr>
        <w:t>评审</w:t>
      </w:r>
      <w:bookmarkEnd w:id="8"/>
    </w:p>
    <w:p w14:paraId="50AE5AE3">
      <w:pPr>
        <w:pStyle w:val="29"/>
        <w:bidi w:val="0"/>
        <w:rPr>
          <w:rFonts w:hint="eastAsia"/>
          <w:lang w:eastAsia="zh-CN"/>
        </w:rPr>
      </w:pPr>
      <w:r>
        <w:rPr>
          <w:lang w:eastAsia="zh-CN"/>
        </w:rPr>
        <w:t>在实施运行中，所有员工根据日常工作情况，对调整后的体系提出了改进建议。各审核专员也通过对各项目的日常工作检查，发现了改进需求。202</w:t>
      </w:r>
      <w:r>
        <w:rPr>
          <w:rFonts w:hint="eastAsia"/>
          <w:lang w:val="en-US" w:eastAsia="zh-CN"/>
        </w:rPr>
        <w:t>5</w:t>
      </w:r>
      <w:r>
        <w:rPr>
          <w:lang w:eastAsia="zh-CN"/>
        </w:rPr>
        <w:t>年</w:t>
      </w:r>
      <w:r>
        <w:rPr>
          <w:rFonts w:hint="eastAsia"/>
          <w:lang w:eastAsia="zh-CN"/>
        </w:rPr>
        <w:t>1</w:t>
      </w:r>
      <w:r>
        <w:rPr>
          <w:rFonts w:hint="eastAsia"/>
          <w:lang w:val="en-US" w:eastAsia="zh-CN"/>
        </w:rPr>
        <w:t>2</w:t>
      </w:r>
      <w:r>
        <w:rPr>
          <w:rFonts w:hint="eastAsia"/>
          <w:lang w:eastAsia="zh-CN"/>
        </w:rPr>
        <w:t>月</w:t>
      </w:r>
      <w:r>
        <w:rPr>
          <w:lang w:eastAsia="zh-CN"/>
        </w:rPr>
        <w:t>2</w:t>
      </w:r>
      <w:r>
        <w:rPr>
          <w:rFonts w:hint="eastAsia"/>
          <w:lang w:eastAsia="zh-CN"/>
        </w:rPr>
        <w:t>0</w:t>
      </w:r>
      <w:r>
        <w:rPr>
          <w:lang w:eastAsia="zh-CN"/>
        </w:rPr>
        <w:t>日公司组织并实施了运维服务能力管理评审，从人员、资源、过程、技术、应急、交付及运维服务体系实施结果等方面对运维服务能力进行了全面的分析和评审。根据公司的《</w:t>
      </w:r>
      <w:r>
        <w:rPr>
          <w:rFonts w:hint="eastAsia"/>
          <w:lang w:eastAsia="zh-CN"/>
        </w:rPr>
        <w:t>运维服务能力指标体系</w:t>
      </w:r>
      <w:r>
        <w:rPr>
          <w:lang w:eastAsia="zh-CN"/>
        </w:rPr>
        <w:t>》要求，审核了各指标的符合情况，各部门的工作都能够实现指标要求。对于内审中发现的问题，进一步明确了整改的责任部门及整改方式。</w:t>
      </w:r>
    </w:p>
    <w:p w14:paraId="4BE18E6E">
      <w:pPr>
        <w:pStyle w:val="29"/>
        <w:bidi w:val="0"/>
        <w:rPr>
          <w:rFonts w:hint="eastAsia"/>
          <w:lang w:eastAsia="zh-CN"/>
        </w:rPr>
      </w:pPr>
      <w:r>
        <w:rPr>
          <w:lang w:eastAsia="zh-CN"/>
        </w:rPr>
        <w:t>通过评审，与会人员一致认为调整后的运维服务管理体系运行基本正常，能适应公司的实际工作情况，对提高运维服务质量起到了积极的作用。在接下来的工作中，应该继续加强对员工的技能和工作流程的培训，同时交付部应该加强运维体系的日常监督工作。</w:t>
      </w:r>
    </w:p>
    <w:p w14:paraId="2721F53E">
      <w:pPr>
        <w:pStyle w:val="30"/>
        <w:bidi w:val="0"/>
        <w:rPr>
          <w:lang w:eastAsia="zh-CN"/>
        </w:rPr>
      </w:pPr>
      <w:bookmarkStart w:id="9" w:name="_Toc13669"/>
      <w:r>
        <w:t>客户满意度调查与分析</w:t>
      </w:r>
      <w:bookmarkEnd w:id="9"/>
    </w:p>
    <w:p w14:paraId="5CCA18D9">
      <w:pPr>
        <w:pStyle w:val="29"/>
        <w:ind w:firstLine="480"/>
      </w:pPr>
      <w:r>
        <w:t>根据统计，客户均对本公司的整体形象评价为非常满意程度；我公司本次客户满意度为97.</w:t>
      </w:r>
      <w:r>
        <w:rPr>
          <w:rFonts w:hint="eastAsia"/>
        </w:rPr>
        <w:t>4</w:t>
      </w:r>
      <w:r>
        <w:t>分，达到公司制定的客户满意度≥95.5分的目标值。</w:t>
      </w:r>
      <w:r>
        <w:rPr>
          <w:rFonts w:hint="eastAsia"/>
        </w:rPr>
        <w:t>但是在问卷总结过程中发现“</w:t>
      </w:r>
      <w:r>
        <w:t>问题解决回复及时率</w:t>
      </w:r>
      <w:r>
        <w:rPr>
          <w:rFonts w:hint="eastAsia"/>
        </w:rPr>
        <w:t>”得分较低，下一阶段要积极进行整改。</w:t>
      </w:r>
    </w:p>
    <w:p w14:paraId="5028280E">
      <w:pPr>
        <w:pStyle w:val="30"/>
        <w:bidi w:val="0"/>
        <w:rPr>
          <w:lang w:eastAsia="zh-CN"/>
        </w:rPr>
      </w:pPr>
      <w:bookmarkStart w:id="10" w:name="_Toc20709"/>
      <w:bookmarkStart w:id="11" w:name="_Toc9351"/>
      <w:r>
        <w:rPr>
          <w:rFonts w:hint="eastAsia"/>
          <w:lang w:eastAsia="zh-CN"/>
        </w:rPr>
        <w:t>服务质量改进</w:t>
      </w:r>
      <w:bookmarkEnd w:id="10"/>
      <w:bookmarkEnd w:id="11"/>
    </w:p>
    <w:p w14:paraId="142F4C8F">
      <w:pPr>
        <w:pStyle w:val="31"/>
        <w:bidi w:val="0"/>
        <w:rPr>
          <w:rFonts w:hint="eastAsia"/>
          <w:lang w:val="en-US" w:eastAsia="zh-CN"/>
        </w:rPr>
      </w:pPr>
      <w:bookmarkStart w:id="12" w:name="_Toc21131"/>
      <w:r>
        <w:rPr>
          <w:rFonts w:hint="eastAsia"/>
          <w:lang w:val="en-US" w:eastAsia="zh-CN"/>
        </w:rPr>
        <w:t>针对内审不符合发现问题改进</w:t>
      </w:r>
      <w:bookmarkEnd w:id="12"/>
    </w:p>
    <w:p w14:paraId="5C5DB677">
      <w:pPr>
        <w:pStyle w:val="29"/>
        <w:rPr>
          <w:rFonts w:hint="eastAsia"/>
          <w:lang w:val="en-US" w:eastAsia="zh-CN"/>
        </w:rPr>
      </w:pPr>
      <w:r>
        <w:rPr>
          <w:rFonts w:hint="eastAsia"/>
          <w:lang w:val="en-US" w:eastAsia="zh-CN"/>
        </w:rPr>
        <w:t>2025年12月15日至16日，公司组织开展年度内部审核工作，共发现1项不符合项，具体为：交付部未编制《运维工具使用效果自评估报告》模板，不符合T/CESA 1299-2023标准中第7.6.1条款“定期对运维工具使用效果进行评估，形成评估报告”的要求。</w:t>
      </w:r>
    </w:p>
    <w:p w14:paraId="6135013F">
      <w:pPr>
        <w:pStyle w:val="29"/>
        <w:rPr>
          <w:rFonts w:hint="eastAsia"/>
          <w:lang w:val="en-US" w:eastAsia="zh-CN"/>
        </w:rPr>
      </w:pPr>
      <w:r>
        <w:rPr>
          <w:rFonts w:hint="eastAsia"/>
          <w:lang w:val="en-US" w:eastAsia="zh-CN"/>
        </w:rPr>
        <w:t>针对上述问题，交付部立即组织整改，具体改进措施包括：</w:t>
      </w:r>
    </w:p>
    <w:p w14:paraId="385CFACE">
      <w:pPr>
        <w:pStyle w:val="29"/>
        <w:rPr>
          <w:rFonts w:hint="eastAsia"/>
          <w:lang w:val="en-US" w:eastAsia="zh-CN"/>
        </w:rPr>
      </w:pPr>
      <w:r>
        <w:rPr>
          <w:rFonts w:hint="eastAsia"/>
          <w:lang w:val="en-US" w:eastAsia="zh-CN"/>
        </w:rPr>
        <w:t>组织部门相关人员对T/CESA 1299-2023标准第7.6.1条款进行再培训与学习，强化对运维工具评估要求的理解；</w:t>
      </w:r>
    </w:p>
    <w:p w14:paraId="316E4FF5">
      <w:pPr>
        <w:pStyle w:val="29"/>
        <w:rPr>
          <w:rFonts w:hint="eastAsia"/>
          <w:lang w:val="en-US" w:eastAsia="zh-CN"/>
        </w:rPr>
      </w:pPr>
      <w:r>
        <w:rPr>
          <w:rFonts w:hint="eastAsia"/>
          <w:lang w:val="en-US" w:eastAsia="zh-CN"/>
        </w:rPr>
        <w:t>编制并发布《运维工具使用效果自评估报告》模板，明确评估内容、周期及填写规范；</w:t>
      </w:r>
    </w:p>
    <w:p w14:paraId="5AB00844">
      <w:pPr>
        <w:pStyle w:val="29"/>
        <w:rPr>
          <w:rFonts w:hint="eastAsia"/>
          <w:lang w:val="en-US" w:eastAsia="zh-CN"/>
        </w:rPr>
      </w:pPr>
      <w:r>
        <w:rPr>
          <w:rFonts w:hint="eastAsia"/>
          <w:lang w:val="en-US" w:eastAsia="zh-CN"/>
        </w:rPr>
        <w:t>后续由质量部不定期对评估工作的执行情况进行抽查，确保同类问题不再发生。</w:t>
      </w:r>
    </w:p>
    <w:p w14:paraId="25A54091">
      <w:pPr>
        <w:pStyle w:val="29"/>
        <w:rPr>
          <w:rFonts w:hint="eastAsia"/>
          <w:lang w:val="en-US" w:eastAsia="zh-CN"/>
        </w:rPr>
      </w:pPr>
      <w:r>
        <w:rPr>
          <w:rFonts w:hint="eastAsia"/>
          <w:lang w:val="en-US" w:eastAsia="zh-CN"/>
        </w:rPr>
        <w:t>截至2025年12月16日，上述整改措施已全部落实，经审核员验证确认，不符合项已关闭。</w:t>
      </w:r>
    </w:p>
    <w:p w14:paraId="2015FB6F">
      <w:pPr>
        <w:pStyle w:val="31"/>
        <w:bidi w:val="0"/>
        <w:rPr>
          <w:rFonts w:hint="eastAsia"/>
          <w:lang w:val="en-US" w:eastAsia="zh-CN"/>
        </w:rPr>
      </w:pPr>
      <w:bookmarkStart w:id="13" w:name="_Toc882"/>
      <w:r>
        <w:rPr>
          <w:rFonts w:hint="eastAsia"/>
          <w:lang w:val="en-US" w:eastAsia="zh-CN"/>
        </w:rPr>
        <w:t>针对指标跟踪发现问题的改进</w:t>
      </w:r>
      <w:bookmarkEnd w:id="13"/>
    </w:p>
    <w:p w14:paraId="76A3E411">
      <w:pPr>
        <w:pStyle w:val="29"/>
        <w:rPr>
          <w:rFonts w:hint="eastAsia"/>
          <w:lang w:val="en-US" w:eastAsia="zh-CN"/>
        </w:rPr>
      </w:pPr>
      <w:r>
        <w:rPr>
          <w:rFonts w:hint="eastAsia"/>
          <w:lang w:val="en-US" w:eastAsia="zh-CN"/>
        </w:rPr>
        <w:t>根据运维服务能力指标跟踪结果，“最终软件库管理”相关指标未达成预期目标，主要体现为版本控制记录不完整、出入库流程执行不规范等问题，反映出制度执行层面存在薄弱环节。</w:t>
      </w:r>
    </w:p>
    <w:p w14:paraId="7E385A39">
      <w:pPr>
        <w:pStyle w:val="29"/>
        <w:rPr>
          <w:rFonts w:hint="eastAsia"/>
          <w:lang w:val="en-US" w:eastAsia="zh-CN"/>
        </w:rPr>
      </w:pPr>
      <w:r>
        <w:rPr>
          <w:rFonts w:hint="eastAsia"/>
          <w:lang w:val="en-US" w:eastAsia="zh-CN"/>
        </w:rPr>
        <w:t>针对上述问题，质量部协同交付部制定并落实以下改进措施：</w:t>
      </w:r>
    </w:p>
    <w:p w14:paraId="6489AB66">
      <w:pPr>
        <w:pStyle w:val="29"/>
        <w:rPr>
          <w:rFonts w:hint="eastAsia"/>
          <w:lang w:val="en-US" w:eastAsia="zh-CN"/>
        </w:rPr>
      </w:pPr>
      <w:r>
        <w:rPr>
          <w:rFonts w:hint="eastAsia"/>
          <w:lang w:val="en-US" w:eastAsia="zh-CN"/>
        </w:rPr>
        <w:t>组织交付部全员开展《最终软件库管理制度》专项培训，重点强化对出入库流程、版本更新规范及记录要求的理解和执行；</w:t>
      </w:r>
    </w:p>
    <w:p w14:paraId="7F5B2224">
      <w:pPr>
        <w:pStyle w:val="29"/>
        <w:rPr>
          <w:rFonts w:hint="eastAsia"/>
          <w:lang w:val="en-US" w:eastAsia="zh-CN"/>
        </w:rPr>
      </w:pPr>
      <w:r>
        <w:rPr>
          <w:rFonts w:hint="eastAsia"/>
          <w:lang w:val="en-US" w:eastAsia="zh-CN"/>
        </w:rPr>
        <w:t>质量部加强对最终软件库管理的关键环节进行日常抽查，包括出入库记录、版本变更审批、软件包完整性检查等，并建立问题通报机制；</w:t>
      </w:r>
    </w:p>
    <w:p w14:paraId="7C2C6B8D">
      <w:pPr>
        <w:pStyle w:val="29"/>
        <w:rPr>
          <w:rFonts w:hint="eastAsia"/>
          <w:lang w:val="en-US" w:eastAsia="zh-CN"/>
        </w:rPr>
      </w:pPr>
      <w:r>
        <w:rPr>
          <w:rFonts w:hint="eastAsia"/>
          <w:lang w:val="en-US" w:eastAsia="zh-CN"/>
        </w:rPr>
        <w:t>建立季度软件库管理回顾机制，定期汇总执行情况，分析典型问题，推动管理要求的持续落地。</w:t>
      </w:r>
    </w:p>
    <w:p w14:paraId="315BBDA0">
      <w:pPr>
        <w:pStyle w:val="29"/>
        <w:rPr>
          <w:rFonts w:hint="eastAsia" w:ascii="Arial" w:hAnsi="Arial" w:cs="Arial"/>
          <w:lang w:val="en-US" w:eastAsia="zh-CN"/>
        </w:rPr>
      </w:pPr>
      <w:r>
        <w:rPr>
          <w:rFonts w:hint="eastAsia" w:ascii="Arial" w:hAnsi="Arial" w:cs="Arial"/>
          <w:lang w:val="en-US" w:eastAsia="zh-CN"/>
        </w:rPr>
        <w:t>上述改进措施自2026年1月起正式实施，质量部将持续跟踪执行效果，并计划于2026年6月对改进成效进行阶段性评估。</w:t>
      </w:r>
    </w:p>
    <w:p w14:paraId="51B0CD98">
      <w:pPr>
        <w:pStyle w:val="31"/>
        <w:bidi w:val="0"/>
        <w:rPr>
          <w:rFonts w:hint="default"/>
          <w:lang w:val="en-US" w:eastAsia="zh-CN"/>
        </w:rPr>
      </w:pPr>
      <w:bookmarkStart w:id="14" w:name="_Toc30803"/>
      <w:r>
        <w:rPr>
          <w:rFonts w:hint="eastAsia"/>
          <w:lang w:val="en-US" w:eastAsia="zh-CN"/>
        </w:rPr>
        <w:t>针对客户满意度调查问题的改进</w:t>
      </w:r>
      <w:bookmarkEnd w:id="14"/>
    </w:p>
    <w:p w14:paraId="1849405B">
      <w:pPr>
        <w:pStyle w:val="29"/>
        <w:rPr>
          <w:rFonts w:hint="default"/>
          <w:lang w:val="en-US" w:eastAsia="zh-CN"/>
        </w:rPr>
      </w:pPr>
      <w:r>
        <w:rPr>
          <w:rFonts w:hint="default"/>
          <w:lang w:val="en-US" w:eastAsia="zh-CN"/>
        </w:rPr>
        <w:t>2025年12月客户满意度调查结果显示，“问题解决回复及时率”得分相对较低，反映出响应效率仍有提升空间。下一阶段改进措施如下：</w:t>
      </w:r>
    </w:p>
    <w:p w14:paraId="3E084508">
      <w:pPr>
        <w:pStyle w:val="29"/>
        <w:rPr>
          <w:rFonts w:hint="default"/>
          <w:lang w:val="en-US" w:eastAsia="zh-CN"/>
        </w:rPr>
      </w:pPr>
      <w:r>
        <w:rPr>
          <w:rFonts w:hint="default"/>
          <w:lang w:val="en-US" w:eastAsia="zh-CN"/>
        </w:rPr>
        <w:t>强化专项培训：围绕响应流程、沟通技巧、时效管理等开展针对性培训，提升团队整体服务意识与执行能力</w:t>
      </w:r>
    </w:p>
    <w:p w14:paraId="20B47C6B">
      <w:pPr>
        <w:pStyle w:val="29"/>
        <w:rPr>
          <w:rFonts w:hint="default"/>
          <w:lang w:val="en-US" w:eastAsia="zh-CN"/>
        </w:rPr>
      </w:pPr>
      <w:r>
        <w:rPr>
          <w:rFonts w:hint="default"/>
          <w:lang w:val="en-US" w:eastAsia="zh-CN"/>
        </w:rPr>
        <w:t>加强过程管控：由质量部对问题响应全过程进行跟踪督导，明确各环节责任人与处理时限</w:t>
      </w:r>
    </w:p>
    <w:p w14:paraId="518D9F29">
      <w:pPr>
        <w:pStyle w:val="29"/>
        <w:rPr>
          <w:rFonts w:hint="default"/>
          <w:lang w:val="en-US" w:eastAsia="zh-CN"/>
        </w:rPr>
      </w:pPr>
      <w:r>
        <w:rPr>
          <w:rFonts w:hint="default"/>
          <w:lang w:val="en-US" w:eastAsia="zh-CN"/>
        </w:rPr>
        <w:t>优化协同机制：完善内部信息传递与反馈流程，实现问题处理的闭环管理</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4A9A4">
    <w:pPr>
      <w:spacing w:line="209" w:lineRule="auto"/>
      <w:ind w:right="4"/>
      <w:jc w:val="right"/>
      <w:rPr>
        <w:rFonts w:hint="eastAsia" w:ascii="宋体" w:hAnsi="宋体" w:cs="宋体"/>
        <w:sz w:val="18"/>
        <w:szCs w:val="18"/>
      </w:rPr>
    </w:pPr>
    <w:r>
      <w:rPr>
        <w:rFonts w:ascii="宋体" w:hAnsi="宋体" w:cs="宋体"/>
        <w:spacing w:val="-6"/>
        <w:sz w:val="18"/>
        <w:szCs w:val="18"/>
      </w:rPr>
      <w:t>第</w:t>
    </w:r>
    <w:r>
      <w:rPr>
        <w:rFonts w:ascii="宋体" w:hAnsi="宋体" w:cs="宋体"/>
        <w:spacing w:val="11"/>
        <w:sz w:val="18"/>
        <w:szCs w:val="18"/>
      </w:rPr>
      <w:t xml:space="preserve"> </w:t>
    </w:r>
    <w:r>
      <w:rPr>
        <w:rFonts w:ascii="Calibri" w:hAnsi="Calibri" w:eastAsia="Calibri" w:cs="Calibri"/>
        <w:spacing w:val="-6"/>
        <w:sz w:val="18"/>
        <w:szCs w:val="18"/>
      </w:rPr>
      <w:t>3</w:t>
    </w:r>
    <w:r>
      <w:rPr>
        <w:rFonts w:ascii="Calibri" w:hAnsi="Calibri" w:eastAsia="Calibri" w:cs="Calibri"/>
        <w:spacing w:val="9"/>
        <w:sz w:val="18"/>
        <w:szCs w:val="18"/>
      </w:rPr>
      <w:t xml:space="preserve">  </w:t>
    </w:r>
    <w:r>
      <w:rPr>
        <w:rFonts w:ascii="宋体" w:hAnsi="宋体" w:cs="宋体"/>
        <w:spacing w:val="-6"/>
        <w:sz w:val="18"/>
        <w:szCs w:val="18"/>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F5AD9">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6696"/>
    <w:rsid w:val="00227E84"/>
    <w:rsid w:val="00274F9A"/>
    <w:rsid w:val="006B71EB"/>
    <w:rsid w:val="006F4C1F"/>
    <w:rsid w:val="009276F1"/>
    <w:rsid w:val="00C13344"/>
    <w:rsid w:val="00D97427"/>
    <w:rsid w:val="00E36696"/>
    <w:rsid w:val="00E97277"/>
    <w:rsid w:val="00F22892"/>
    <w:rsid w:val="04732647"/>
    <w:rsid w:val="07D94EB6"/>
    <w:rsid w:val="0B30303F"/>
    <w:rsid w:val="0E0D58BA"/>
    <w:rsid w:val="13451652"/>
    <w:rsid w:val="15CA2436"/>
    <w:rsid w:val="16EB38C0"/>
    <w:rsid w:val="1BCE2BAE"/>
    <w:rsid w:val="2205092A"/>
    <w:rsid w:val="24482D50"/>
    <w:rsid w:val="272F1FA5"/>
    <w:rsid w:val="274461FB"/>
    <w:rsid w:val="2E7D23E9"/>
    <w:rsid w:val="2EE45443"/>
    <w:rsid w:val="30FF4A90"/>
    <w:rsid w:val="3417273F"/>
    <w:rsid w:val="3E1321C9"/>
    <w:rsid w:val="4C793B3F"/>
    <w:rsid w:val="4ED908C5"/>
    <w:rsid w:val="4FB54E8E"/>
    <w:rsid w:val="4FDC68BF"/>
    <w:rsid w:val="56847599"/>
    <w:rsid w:val="5BC1388C"/>
    <w:rsid w:val="676A5F30"/>
    <w:rsid w:val="7E5576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3"/>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正文_无缩进 Char"/>
    <w:link w:val="39"/>
    <w:qFormat/>
    <w:uiPriority w:val="0"/>
    <w:rPr>
      <w:rFonts w:ascii="Arial" w:hAnsi="Arial"/>
      <w:sz w:val="24"/>
      <w:lang w:eastAsia="zh-CN"/>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1781</Words>
  <Characters>1928</Characters>
  <Lines>76</Lines>
  <Paragraphs>59</Paragraphs>
  <TotalTime>0</TotalTime>
  <ScaleCrop>false</ScaleCrop>
  <LinksUpToDate>false</LinksUpToDate>
  <CharactersWithSpaces>1956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2026-03-09T20:47:38Z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