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414C0">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11</w:t>
      </w:r>
    </w:p>
    <w:p w14:paraId="720D9341">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4AB9A3E">
      <w:pPr>
        <w:pStyle w:val="24"/>
        <w:bidi w:val="0"/>
      </w:pPr>
      <w:bookmarkStart w:id="0" w:name="_Toc7586"/>
      <w:r>
        <w:rPr>
          <w:rFonts w:hint="eastAsia"/>
          <w:lang w:val="en-US" w:eastAsia="zh-CN"/>
        </w:rPr>
        <w:t>陕西益利德软件科技有限公司</w:t>
      </w:r>
      <w:bookmarkEnd w:id="0"/>
    </w:p>
    <w:p w14:paraId="35489663">
      <w:pPr>
        <w:pStyle w:val="25"/>
        <w:bidi w:val="0"/>
        <w:rPr>
          <w:rFonts w:hint="default"/>
          <w:lang w:val="en-US"/>
        </w:rPr>
      </w:pPr>
      <w:bookmarkStart w:id="1" w:name="_Toc5242"/>
      <w:r>
        <w:rPr>
          <w:rFonts w:hint="eastAsia"/>
          <w:lang w:val="en-US" w:eastAsia="zh-CN"/>
        </w:rPr>
        <w:t>信息安全管理制度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C641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52218E73">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vAlign w:val="top"/>
          </w:tcPr>
          <w:p w14:paraId="0F91EA77">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33AC3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704D45F1">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vAlign w:val="top"/>
          </w:tcPr>
          <w:p w14:paraId="7989BC4C">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18FDD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vAlign w:val="top"/>
          </w:tcPr>
          <w:p w14:paraId="6CEF8625">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vAlign w:val="top"/>
          </w:tcPr>
          <w:p w14:paraId="202C957A">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5E2E2C85">
      <w:r>
        <w:br w:type="page"/>
      </w:r>
    </w:p>
    <w:p w14:paraId="77023F3D">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AAA3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0711615">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D177240">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14AD9CC">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2621FD7">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575E871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0455056">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BF2FB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B5E6551">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71690A9F">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844F844">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5DB803C">
            <w:pPr>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tcPr>
          <w:p w14:paraId="5166B4E1">
            <w:pPr>
              <w:spacing w:before="172" w:line="228" w:lineRule="auto"/>
              <w:ind w:left="313"/>
              <w:rPr>
                <w:rFonts w:hint="eastAsia" w:ascii="宋体" w:hAnsi="宋体" w:eastAsia="宋体" w:cs="宋体"/>
                <w:spacing w:val="5"/>
                <w:sz w:val="20"/>
                <w:szCs w:val="20"/>
              </w:rPr>
            </w:pPr>
            <w:r>
              <w:rPr>
                <w:rFonts w:hint="eastAsia"/>
                <w:lang w:val="en-US" w:eastAsia="zh-CN"/>
              </w:rPr>
              <w:t>刘钢要</w:t>
            </w:r>
          </w:p>
        </w:tc>
        <w:tc>
          <w:tcPr>
            <w:tcW w:w="1240" w:type="dxa"/>
          </w:tcPr>
          <w:p w14:paraId="208AC623">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0BF121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957CB54">
            <w:pPr>
              <w:pStyle w:val="27"/>
            </w:pPr>
          </w:p>
        </w:tc>
        <w:tc>
          <w:tcPr>
            <w:tcW w:w="919" w:type="dxa"/>
          </w:tcPr>
          <w:p w14:paraId="6AAFBB07">
            <w:pPr>
              <w:pStyle w:val="27"/>
            </w:pPr>
          </w:p>
        </w:tc>
        <w:tc>
          <w:tcPr>
            <w:tcW w:w="2289" w:type="dxa"/>
          </w:tcPr>
          <w:p w14:paraId="1702E983">
            <w:pPr>
              <w:pStyle w:val="27"/>
            </w:pPr>
          </w:p>
        </w:tc>
        <w:tc>
          <w:tcPr>
            <w:tcW w:w="1148" w:type="dxa"/>
          </w:tcPr>
          <w:p w14:paraId="2E69A073">
            <w:pPr>
              <w:spacing w:before="172" w:line="228" w:lineRule="auto"/>
              <w:ind w:left="313"/>
            </w:pPr>
          </w:p>
        </w:tc>
        <w:tc>
          <w:tcPr>
            <w:tcW w:w="1150" w:type="dxa"/>
          </w:tcPr>
          <w:p w14:paraId="45A95A3C">
            <w:pPr>
              <w:spacing w:before="172" w:line="228" w:lineRule="auto"/>
              <w:ind w:left="313"/>
            </w:pPr>
          </w:p>
        </w:tc>
        <w:tc>
          <w:tcPr>
            <w:tcW w:w="1240" w:type="dxa"/>
          </w:tcPr>
          <w:p w14:paraId="1AE57F9B">
            <w:pPr>
              <w:pStyle w:val="27"/>
            </w:pPr>
          </w:p>
        </w:tc>
      </w:tr>
      <w:tr w14:paraId="297EB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55E2CEF">
            <w:pPr>
              <w:pStyle w:val="27"/>
            </w:pPr>
          </w:p>
        </w:tc>
        <w:tc>
          <w:tcPr>
            <w:tcW w:w="919" w:type="dxa"/>
          </w:tcPr>
          <w:p w14:paraId="39FE2563">
            <w:pPr>
              <w:pStyle w:val="27"/>
            </w:pPr>
          </w:p>
        </w:tc>
        <w:tc>
          <w:tcPr>
            <w:tcW w:w="2289" w:type="dxa"/>
          </w:tcPr>
          <w:p w14:paraId="472A839A">
            <w:pPr>
              <w:pStyle w:val="27"/>
            </w:pPr>
          </w:p>
        </w:tc>
        <w:tc>
          <w:tcPr>
            <w:tcW w:w="1148" w:type="dxa"/>
          </w:tcPr>
          <w:p w14:paraId="704ED57D">
            <w:pPr>
              <w:spacing w:before="173" w:line="229" w:lineRule="auto"/>
              <w:ind w:left="314"/>
            </w:pPr>
          </w:p>
        </w:tc>
        <w:tc>
          <w:tcPr>
            <w:tcW w:w="1150" w:type="dxa"/>
          </w:tcPr>
          <w:p w14:paraId="008F49BD">
            <w:pPr>
              <w:spacing w:before="173" w:line="229" w:lineRule="auto"/>
              <w:ind w:left="314"/>
            </w:pPr>
          </w:p>
        </w:tc>
        <w:tc>
          <w:tcPr>
            <w:tcW w:w="1240" w:type="dxa"/>
          </w:tcPr>
          <w:p w14:paraId="2CF57102">
            <w:pPr>
              <w:pStyle w:val="27"/>
            </w:pPr>
          </w:p>
        </w:tc>
      </w:tr>
      <w:tr w14:paraId="07FBAB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41AC466">
            <w:pPr>
              <w:pStyle w:val="27"/>
            </w:pPr>
          </w:p>
        </w:tc>
        <w:tc>
          <w:tcPr>
            <w:tcW w:w="919" w:type="dxa"/>
          </w:tcPr>
          <w:p w14:paraId="2CDD0219">
            <w:pPr>
              <w:pStyle w:val="27"/>
            </w:pPr>
          </w:p>
        </w:tc>
        <w:tc>
          <w:tcPr>
            <w:tcW w:w="2289" w:type="dxa"/>
          </w:tcPr>
          <w:p w14:paraId="27E53908">
            <w:pPr>
              <w:pStyle w:val="27"/>
            </w:pPr>
          </w:p>
        </w:tc>
        <w:tc>
          <w:tcPr>
            <w:tcW w:w="1148" w:type="dxa"/>
          </w:tcPr>
          <w:p w14:paraId="1491468E">
            <w:pPr>
              <w:pStyle w:val="27"/>
            </w:pPr>
          </w:p>
        </w:tc>
        <w:tc>
          <w:tcPr>
            <w:tcW w:w="1150" w:type="dxa"/>
          </w:tcPr>
          <w:p w14:paraId="440B8963">
            <w:pPr>
              <w:pStyle w:val="27"/>
            </w:pPr>
          </w:p>
        </w:tc>
        <w:tc>
          <w:tcPr>
            <w:tcW w:w="1240" w:type="dxa"/>
          </w:tcPr>
          <w:p w14:paraId="2360D9CD">
            <w:pPr>
              <w:pStyle w:val="27"/>
            </w:pPr>
          </w:p>
        </w:tc>
      </w:tr>
      <w:tr w14:paraId="2EBE8F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BF8A622">
            <w:pPr>
              <w:pStyle w:val="27"/>
            </w:pPr>
          </w:p>
        </w:tc>
        <w:tc>
          <w:tcPr>
            <w:tcW w:w="919" w:type="dxa"/>
          </w:tcPr>
          <w:p w14:paraId="10FAA5ED">
            <w:pPr>
              <w:pStyle w:val="27"/>
            </w:pPr>
          </w:p>
        </w:tc>
        <w:tc>
          <w:tcPr>
            <w:tcW w:w="2289" w:type="dxa"/>
          </w:tcPr>
          <w:p w14:paraId="7E6FEE3D">
            <w:pPr>
              <w:pStyle w:val="27"/>
            </w:pPr>
          </w:p>
        </w:tc>
        <w:tc>
          <w:tcPr>
            <w:tcW w:w="1148" w:type="dxa"/>
          </w:tcPr>
          <w:p w14:paraId="27D7B2A2">
            <w:pPr>
              <w:pStyle w:val="27"/>
            </w:pPr>
          </w:p>
        </w:tc>
        <w:tc>
          <w:tcPr>
            <w:tcW w:w="1150" w:type="dxa"/>
          </w:tcPr>
          <w:p w14:paraId="4FB717F9">
            <w:pPr>
              <w:pStyle w:val="27"/>
            </w:pPr>
          </w:p>
        </w:tc>
        <w:tc>
          <w:tcPr>
            <w:tcW w:w="1240" w:type="dxa"/>
          </w:tcPr>
          <w:p w14:paraId="63D90ED3">
            <w:pPr>
              <w:pStyle w:val="27"/>
            </w:pPr>
          </w:p>
        </w:tc>
      </w:tr>
      <w:tr w14:paraId="3B23D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EF413D6">
            <w:pPr>
              <w:pStyle w:val="27"/>
            </w:pPr>
          </w:p>
        </w:tc>
        <w:tc>
          <w:tcPr>
            <w:tcW w:w="919" w:type="dxa"/>
          </w:tcPr>
          <w:p w14:paraId="493B70CB">
            <w:pPr>
              <w:pStyle w:val="27"/>
            </w:pPr>
          </w:p>
        </w:tc>
        <w:tc>
          <w:tcPr>
            <w:tcW w:w="2289" w:type="dxa"/>
          </w:tcPr>
          <w:p w14:paraId="5FFBD792">
            <w:pPr>
              <w:pStyle w:val="27"/>
            </w:pPr>
          </w:p>
        </w:tc>
        <w:tc>
          <w:tcPr>
            <w:tcW w:w="1148" w:type="dxa"/>
          </w:tcPr>
          <w:p w14:paraId="3B46268E">
            <w:pPr>
              <w:pStyle w:val="27"/>
            </w:pPr>
          </w:p>
        </w:tc>
        <w:tc>
          <w:tcPr>
            <w:tcW w:w="1150" w:type="dxa"/>
          </w:tcPr>
          <w:p w14:paraId="6387B108">
            <w:pPr>
              <w:pStyle w:val="27"/>
            </w:pPr>
          </w:p>
        </w:tc>
        <w:tc>
          <w:tcPr>
            <w:tcW w:w="1240" w:type="dxa"/>
          </w:tcPr>
          <w:p w14:paraId="47F9982A">
            <w:pPr>
              <w:pStyle w:val="27"/>
            </w:pPr>
          </w:p>
        </w:tc>
      </w:tr>
    </w:tbl>
    <w:p w14:paraId="637594FF">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792C963">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B2CB26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_Toc7586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_Toc7586 \h </w:instrText>
          </w:r>
          <w:r>
            <w:fldChar w:fldCharType="separate"/>
          </w:r>
          <w:r>
            <w:t>1</w:t>
          </w:r>
          <w:r>
            <w:fldChar w:fldCharType="end"/>
          </w:r>
          <w:r>
            <w:rPr>
              <w:rFonts w:hint="eastAsia" w:ascii="宋体" w:hAnsi="宋体" w:eastAsia="宋体" w:cs="宋体"/>
              <w:szCs w:val="24"/>
            </w:rPr>
            <w:fldChar w:fldCharType="end"/>
          </w:r>
        </w:p>
        <w:p w14:paraId="624EE4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_Toc5242 </w:instrText>
          </w:r>
          <w:r>
            <w:rPr>
              <w:rFonts w:hint="eastAsia" w:ascii="宋体" w:hAnsi="宋体" w:eastAsia="宋体" w:cs="宋体"/>
              <w:szCs w:val="24"/>
            </w:rPr>
            <w:fldChar w:fldCharType="separate"/>
          </w:r>
          <w:r>
            <w:rPr>
              <w:rFonts w:hint="eastAsia"/>
              <w:lang w:val="en-US" w:eastAsia="zh-CN"/>
            </w:rPr>
            <w:t>信息安全管理制度</w:t>
          </w:r>
          <w:r>
            <w:tab/>
          </w:r>
          <w:r>
            <w:fldChar w:fldCharType="begin"/>
          </w:r>
          <w:r>
            <w:instrText xml:space="preserve"> PAGEREF _Toc5242 \h </w:instrText>
          </w:r>
          <w:r>
            <w:fldChar w:fldCharType="separate"/>
          </w:r>
          <w:r>
            <w:t>1</w:t>
          </w:r>
          <w:r>
            <w:fldChar w:fldCharType="end"/>
          </w:r>
          <w:r>
            <w:rPr>
              <w:rFonts w:hint="eastAsia" w:ascii="宋体" w:hAnsi="宋体" w:eastAsia="宋体" w:cs="宋体"/>
              <w:szCs w:val="24"/>
            </w:rPr>
            <w:fldChar w:fldCharType="end"/>
          </w:r>
        </w:p>
        <w:p w14:paraId="795765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_Toc20485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_Toc20485 \h </w:instrText>
          </w:r>
          <w:r>
            <w:fldChar w:fldCharType="separate"/>
          </w:r>
          <w:r>
            <w:t>5</w:t>
          </w:r>
          <w:r>
            <w:fldChar w:fldCharType="end"/>
          </w:r>
          <w:r>
            <w:rPr>
              <w:rFonts w:hint="eastAsia" w:ascii="宋体" w:hAnsi="宋体" w:eastAsia="宋体" w:cs="宋体"/>
              <w:szCs w:val="24"/>
            </w:rPr>
            <w:fldChar w:fldCharType="end"/>
          </w:r>
        </w:p>
        <w:p w14:paraId="35FEA50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_Toc3355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_Toc3355 \h </w:instrText>
          </w:r>
          <w:r>
            <w:fldChar w:fldCharType="separate"/>
          </w:r>
          <w:r>
            <w:t>5</w:t>
          </w:r>
          <w:r>
            <w:fldChar w:fldCharType="end"/>
          </w:r>
          <w:r>
            <w:rPr>
              <w:rFonts w:hint="eastAsia" w:ascii="宋体" w:hAnsi="宋体" w:eastAsia="宋体" w:cs="宋体"/>
              <w:szCs w:val="24"/>
            </w:rPr>
            <w:fldChar w:fldCharType="end"/>
          </w:r>
        </w:p>
        <w:p w14:paraId="041F11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_Toc22248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_Toc22248 \h </w:instrText>
          </w:r>
          <w:r>
            <w:fldChar w:fldCharType="separate"/>
          </w:r>
          <w:r>
            <w:t>5</w:t>
          </w:r>
          <w:r>
            <w:fldChar w:fldCharType="end"/>
          </w:r>
          <w:r>
            <w:rPr>
              <w:rFonts w:hint="eastAsia" w:ascii="宋体" w:hAnsi="宋体" w:eastAsia="宋体" w:cs="宋体"/>
              <w:szCs w:val="24"/>
            </w:rPr>
            <w:fldChar w:fldCharType="end"/>
          </w:r>
        </w:p>
        <w:p w14:paraId="5610F27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_Toc17865 \h </w:instrText>
          </w:r>
          <w:r>
            <w:fldChar w:fldCharType="separate"/>
          </w:r>
          <w:r>
            <w:t>5</w:t>
          </w:r>
          <w:r>
            <w:fldChar w:fldCharType="end"/>
          </w:r>
          <w:r>
            <w:rPr>
              <w:rFonts w:hint="eastAsia" w:ascii="宋体" w:hAnsi="宋体" w:eastAsia="宋体" w:cs="宋体"/>
              <w:szCs w:val="24"/>
            </w:rPr>
            <w:fldChar w:fldCharType="end"/>
          </w:r>
        </w:p>
        <w:p w14:paraId="764D696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交付部</w:t>
          </w:r>
          <w:r>
            <w:tab/>
          </w:r>
          <w:r>
            <w:fldChar w:fldCharType="begin"/>
          </w:r>
          <w:r>
            <w:instrText xml:space="preserve"> PAGEREF _Toc26108 \h </w:instrText>
          </w:r>
          <w:r>
            <w:fldChar w:fldCharType="separate"/>
          </w:r>
          <w:r>
            <w:t>5</w:t>
          </w:r>
          <w:r>
            <w:fldChar w:fldCharType="end"/>
          </w:r>
          <w:r>
            <w:rPr>
              <w:rFonts w:hint="eastAsia" w:ascii="宋体" w:hAnsi="宋体" w:eastAsia="宋体" w:cs="宋体"/>
              <w:szCs w:val="24"/>
            </w:rPr>
            <w:fldChar w:fldCharType="end"/>
          </w:r>
        </w:p>
        <w:p w14:paraId="18032F6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信息安全管理流程</w:t>
          </w:r>
          <w:r>
            <w:tab/>
          </w:r>
          <w:r>
            <w:fldChar w:fldCharType="begin"/>
          </w:r>
          <w:r>
            <w:instrText xml:space="preserve"> PAGEREF _Toc2512 \h </w:instrText>
          </w:r>
          <w:r>
            <w:fldChar w:fldCharType="separate"/>
          </w:r>
          <w:r>
            <w:t>6</w:t>
          </w:r>
          <w:r>
            <w:fldChar w:fldCharType="end"/>
          </w:r>
          <w:r>
            <w:rPr>
              <w:rFonts w:hint="eastAsia" w:ascii="宋体" w:hAnsi="宋体" w:eastAsia="宋体" w:cs="宋体"/>
              <w:szCs w:val="24"/>
            </w:rPr>
            <w:fldChar w:fldCharType="end"/>
          </w:r>
        </w:p>
        <w:p w14:paraId="52F9B7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_Toc28730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_Toc28730 \h </w:instrText>
          </w:r>
          <w:r>
            <w:fldChar w:fldCharType="separate"/>
          </w:r>
          <w:r>
            <w:t>6</w:t>
          </w:r>
          <w:r>
            <w:fldChar w:fldCharType="end"/>
          </w:r>
          <w:r>
            <w:rPr>
              <w:rFonts w:hint="eastAsia" w:ascii="宋体" w:hAnsi="宋体" w:eastAsia="宋体" w:cs="宋体"/>
              <w:szCs w:val="24"/>
            </w:rPr>
            <w:fldChar w:fldCharType="end"/>
          </w:r>
        </w:p>
        <w:p w14:paraId="37612B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_Toc27068 </w:instrText>
          </w:r>
          <w:r>
            <w:rPr>
              <w:rFonts w:hint="eastAsia" w:ascii="宋体" w:hAnsi="宋体" w:eastAsia="宋体" w:cs="宋体"/>
              <w:szCs w:val="24"/>
            </w:rPr>
            <w:fldChar w:fldCharType="separate"/>
          </w:r>
          <w:r>
            <w:rPr>
              <w:rFonts w:hint="default"/>
            </w:rPr>
            <w:t xml:space="preserve">5.1.1. </w:t>
          </w:r>
          <w:r>
            <w:t>需求识别和分析</w:t>
          </w:r>
          <w:r>
            <w:tab/>
          </w:r>
          <w:r>
            <w:fldChar w:fldCharType="begin"/>
          </w:r>
          <w:r>
            <w:instrText xml:space="preserve"> PAGEREF _Toc27068 \h </w:instrText>
          </w:r>
          <w:r>
            <w:fldChar w:fldCharType="separate"/>
          </w:r>
          <w:r>
            <w:t>6</w:t>
          </w:r>
          <w:r>
            <w:fldChar w:fldCharType="end"/>
          </w:r>
          <w:r>
            <w:rPr>
              <w:rFonts w:hint="eastAsia" w:ascii="宋体" w:hAnsi="宋体" w:eastAsia="宋体" w:cs="宋体"/>
              <w:szCs w:val="24"/>
            </w:rPr>
            <w:fldChar w:fldCharType="end"/>
          </w:r>
        </w:p>
        <w:p w14:paraId="2066176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_Toc20394 </w:instrText>
          </w:r>
          <w:r>
            <w:rPr>
              <w:rFonts w:hint="eastAsia" w:ascii="宋体" w:hAnsi="宋体" w:eastAsia="宋体" w:cs="宋体"/>
              <w:szCs w:val="24"/>
            </w:rPr>
            <w:fldChar w:fldCharType="separate"/>
          </w:r>
          <w:r>
            <w:rPr>
              <w:rFonts w:hint="default"/>
            </w:rPr>
            <w:t xml:space="preserve">5.1.2. </w:t>
          </w:r>
          <w:r>
            <w:t>确定安全实施范围</w:t>
          </w:r>
          <w:r>
            <w:tab/>
          </w:r>
          <w:r>
            <w:fldChar w:fldCharType="begin"/>
          </w:r>
          <w:r>
            <w:instrText xml:space="preserve"> PAGEREF _Toc20394 \h </w:instrText>
          </w:r>
          <w:r>
            <w:fldChar w:fldCharType="separate"/>
          </w:r>
          <w:r>
            <w:t>7</w:t>
          </w:r>
          <w:r>
            <w:fldChar w:fldCharType="end"/>
          </w:r>
          <w:r>
            <w:rPr>
              <w:rFonts w:hint="eastAsia" w:ascii="宋体" w:hAnsi="宋体" w:eastAsia="宋体" w:cs="宋体"/>
              <w:szCs w:val="24"/>
            </w:rPr>
            <w:fldChar w:fldCharType="end"/>
          </w:r>
        </w:p>
        <w:p w14:paraId="26B12F3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_Toc23666 </w:instrText>
          </w:r>
          <w:r>
            <w:rPr>
              <w:rFonts w:hint="eastAsia" w:ascii="宋体" w:hAnsi="宋体" w:eastAsia="宋体" w:cs="宋体"/>
              <w:szCs w:val="24"/>
            </w:rPr>
            <w:fldChar w:fldCharType="separate"/>
          </w:r>
          <w:r>
            <w:rPr>
              <w:rFonts w:hint="default"/>
            </w:rPr>
            <w:t xml:space="preserve">5.1.3. </w:t>
          </w:r>
          <w:r>
            <w:t>信息安全风险评估</w:t>
          </w:r>
          <w:r>
            <w:tab/>
          </w:r>
          <w:r>
            <w:fldChar w:fldCharType="begin"/>
          </w:r>
          <w:r>
            <w:instrText xml:space="preserve"> PAGEREF _Toc23666 \h </w:instrText>
          </w:r>
          <w:r>
            <w:fldChar w:fldCharType="separate"/>
          </w:r>
          <w:r>
            <w:t>7</w:t>
          </w:r>
          <w:r>
            <w:fldChar w:fldCharType="end"/>
          </w:r>
          <w:r>
            <w:rPr>
              <w:rFonts w:hint="eastAsia" w:ascii="宋体" w:hAnsi="宋体" w:eastAsia="宋体" w:cs="宋体"/>
              <w:szCs w:val="24"/>
            </w:rPr>
            <w:fldChar w:fldCharType="end"/>
          </w:r>
        </w:p>
        <w:p w14:paraId="531758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_Toc6293 </w:instrText>
          </w:r>
          <w:r>
            <w:rPr>
              <w:rFonts w:hint="eastAsia" w:ascii="宋体" w:hAnsi="宋体" w:eastAsia="宋体" w:cs="宋体"/>
              <w:szCs w:val="24"/>
            </w:rPr>
            <w:fldChar w:fldCharType="separate"/>
          </w:r>
          <w:r>
            <w:rPr>
              <w:rFonts w:hint="default"/>
            </w:rPr>
            <w:t xml:space="preserve">5.1.4. </w:t>
          </w:r>
          <w:r>
            <w:t>设计安全规范</w:t>
          </w:r>
          <w:r>
            <w:tab/>
          </w:r>
          <w:r>
            <w:fldChar w:fldCharType="begin"/>
          </w:r>
          <w:r>
            <w:instrText xml:space="preserve"> PAGEREF _Toc6293 \h </w:instrText>
          </w:r>
          <w:r>
            <w:fldChar w:fldCharType="separate"/>
          </w:r>
          <w:r>
            <w:t>7</w:t>
          </w:r>
          <w:r>
            <w:fldChar w:fldCharType="end"/>
          </w:r>
          <w:r>
            <w:rPr>
              <w:rFonts w:hint="eastAsia" w:ascii="宋体" w:hAnsi="宋体" w:eastAsia="宋体" w:cs="宋体"/>
              <w:szCs w:val="24"/>
            </w:rPr>
            <w:fldChar w:fldCharType="end"/>
          </w:r>
        </w:p>
        <w:p w14:paraId="621076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_Toc8747 </w:instrText>
          </w:r>
          <w:r>
            <w:rPr>
              <w:rFonts w:hint="eastAsia" w:ascii="宋体" w:hAnsi="宋体" w:eastAsia="宋体" w:cs="宋体"/>
              <w:szCs w:val="24"/>
            </w:rPr>
            <w:fldChar w:fldCharType="separate"/>
          </w:r>
          <w:r>
            <w:rPr>
              <w:rFonts w:hint="default"/>
            </w:rPr>
            <w:t xml:space="preserve">5.1.5. </w:t>
          </w:r>
          <w:r>
            <w:t>实施安全规范</w:t>
          </w:r>
          <w:r>
            <w:tab/>
          </w:r>
          <w:r>
            <w:fldChar w:fldCharType="begin"/>
          </w:r>
          <w:r>
            <w:instrText xml:space="preserve"> PAGEREF _Toc8747 \h </w:instrText>
          </w:r>
          <w:r>
            <w:fldChar w:fldCharType="separate"/>
          </w:r>
          <w:r>
            <w:t>7</w:t>
          </w:r>
          <w:r>
            <w:fldChar w:fldCharType="end"/>
          </w:r>
          <w:r>
            <w:rPr>
              <w:rFonts w:hint="eastAsia" w:ascii="宋体" w:hAnsi="宋体" w:eastAsia="宋体" w:cs="宋体"/>
              <w:szCs w:val="24"/>
            </w:rPr>
            <w:fldChar w:fldCharType="end"/>
          </w:r>
        </w:p>
        <w:p w14:paraId="40AD7C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_Toc23320 </w:instrText>
          </w:r>
          <w:r>
            <w:rPr>
              <w:rFonts w:hint="eastAsia" w:ascii="宋体" w:hAnsi="宋体" w:eastAsia="宋体" w:cs="宋体"/>
              <w:szCs w:val="24"/>
            </w:rPr>
            <w:fldChar w:fldCharType="separate"/>
          </w:r>
          <w:r>
            <w:rPr>
              <w:rFonts w:hint="default"/>
            </w:rPr>
            <w:t xml:space="preserve">5.1.6. </w:t>
          </w:r>
          <w:r>
            <w:t>监控安全状况</w:t>
          </w:r>
          <w:r>
            <w:tab/>
          </w:r>
          <w:r>
            <w:fldChar w:fldCharType="begin"/>
          </w:r>
          <w:r>
            <w:instrText xml:space="preserve"> PAGEREF _Toc23320 \h </w:instrText>
          </w:r>
          <w:r>
            <w:fldChar w:fldCharType="separate"/>
          </w:r>
          <w:r>
            <w:t>8</w:t>
          </w:r>
          <w:r>
            <w:fldChar w:fldCharType="end"/>
          </w:r>
          <w:r>
            <w:rPr>
              <w:rFonts w:hint="eastAsia" w:ascii="宋体" w:hAnsi="宋体" w:eastAsia="宋体" w:cs="宋体"/>
              <w:szCs w:val="24"/>
            </w:rPr>
            <w:fldChar w:fldCharType="end"/>
          </w:r>
        </w:p>
        <w:p w14:paraId="7C04D5E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_Toc16436 </w:instrText>
          </w:r>
          <w:r>
            <w:rPr>
              <w:rFonts w:hint="eastAsia" w:ascii="宋体" w:hAnsi="宋体" w:eastAsia="宋体" w:cs="宋体"/>
              <w:szCs w:val="24"/>
            </w:rPr>
            <w:fldChar w:fldCharType="separate"/>
          </w:r>
          <w:r>
            <w:rPr>
              <w:rFonts w:hint="default"/>
            </w:rPr>
            <w:t xml:space="preserve">5.1.7. </w:t>
          </w:r>
          <w:r>
            <w:t>维护安全规范</w:t>
          </w:r>
          <w:r>
            <w:tab/>
          </w:r>
          <w:r>
            <w:fldChar w:fldCharType="begin"/>
          </w:r>
          <w:r>
            <w:instrText xml:space="preserve"> PAGEREF _Toc16436 \h </w:instrText>
          </w:r>
          <w:r>
            <w:fldChar w:fldCharType="separate"/>
          </w:r>
          <w:r>
            <w:t>8</w:t>
          </w:r>
          <w:r>
            <w:fldChar w:fldCharType="end"/>
          </w:r>
          <w:r>
            <w:rPr>
              <w:rFonts w:hint="eastAsia" w:ascii="宋体" w:hAnsi="宋体" w:eastAsia="宋体" w:cs="宋体"/>
              <w:szCs w:val="24"/>
            </w:rPr>
            <w:fldChar w:fldCharType="end"/>
          </w:r>
        </w:p>
        <w:p w14:paraId="4CE1314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_Toc28267 </w:instrText>
          </w:r>
          <w:r>
            <w:rPr>
              <w:rFonts w:hint="eastAsia" w:ascii="宋体" w:hAnsi="宋体" w:eastAsia="宋体" w:cs="宋体"/>
              <w:szCs w:val="24"/>
            </w:rPr>
            <w:fldChar w:fldCharType="separate"/>
          </w:r>
          <w:r>
            <w:rPr>
              <w:rFonts w:hint="default"/>
            </w:rPr>
            <w:t xml:space="preserve">5.1.8. </w:t>
          </w:r>
          <w:r>
            <w:t>信息安全报告</w:t>
          </w:r>
          <w:r>
            <w:tab/>
          </w:r>
          <w:r>
            <w:fldChar w:fldCharType="begin"/>
          </w:r>
          <w:r>
            <w:instrText xml:space="preserve"> PAGEREF _Toc28267 \h </w:instrText>
          </w:r>
          <w:r>
            <w:fldChar w:fldCharType="separate"/>
          </w:r>
          <w:r>
            <w:t>8</w:t>
          </w:r>
          <w:r>
            <w:fldChar w:fldCharType="end"/>
          </w:r>
          <w:r>
            <w:rPr>
              <w:rFonts w:hint="eastAsia" w:ascii="宋体" w:hAnsi="宋体" w:eastAsia="宋体" w:cs="宋体"/>
              <w:szCs w:val="24"/>
            </w:rPr>
            <w:fldChar w:fldCharType="end"/>
          </w:r>
        </w:p>
        <w:p w14:paraId="588E50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_Toc25490 </w:instrText>
          </w:r>
          <w:r>
            <w:rPr>
              <w:rFonts w:hint="eastAsia" w:ascii="宋体" w:hAnsi="宋体" w:eastAsia="宋体" w:cs="宋体"/>
              <w:szCs w:val="24"/>
            </w:rPr>
            <w:fldChar w:fldCharType="separate"/>
          </w:r>
          <w:r>
            <w:rPr>
              <w:rFonts w:hint="default"/>
            </w:rPr>
            <w:t xml:space="preserve">5.2. </w:t>
          </w:r>
          <w:r>
            <w:rPr>
              <w:rFonts w:hint="eastAsia"/>
              <w:lang w:val="en-US" w:eastAsia="zh-CN"/>
            </w:rPr>
            <w:t>信息安全策略</w:t>
          </w:r>
          <w:r>
            <w:tab/>
          </w:r>
          <w:r>
            <w:fldChar w:fldCharType="begin"/>
          </w:r>
          <w:r>
            <w:instrText xml:space="preserve"> PAGEREF _Toc25490 \h </w:instrText>
          </w:r>
          <w:r>
            <w:fldChar w:fldCharType="separate"/>
          </w:r>
          <w:r>
            <w:t>9</w:t>
          </w:r>
          <w:r>
            <w:fldChar w:fldCharType="end"/>
          </w:r>
          <w:r>
            <w:rPr>
              <w:rFonts w:hint="eastAsia" w:ascii="宋体" w:hAnsi="宋体" w:eastAsia="宋体" w:cs="宋体"/>
              <w:szCs w:val="24"/>
            </w:rPr>
            <w:fldChar w:fldCharType="end"/>
          </w:r>
        </w:p>
        <w:p w14:paraId="4DEAC33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_Toc31589 </w:instrText>
          </w:r>
          <w:r>
            <w:rPr>
              <w:rFonts w:hint="eastAsia" w:ascii="宋体" w:hAnsi="宋体" w:eastAsia="宋体" w:cs="宋体"/>
              <w:szCs w:val="24"/>
            </w:rPr>
            <w:fldChar w:fldCharType="separate"/>
          </w:r>
          <w:r>
            <w:rPr>
              <w:rFonts w:hint="default"/>
            </w:rPr>
            <w:t xml:space="preserve">5.2.1. </w:t>
          </w:r>
          <w:r>
            <w:rPr>
              <w:rFonts w:hint="eastAsia"/>
            </w:rPr>
            <w:t>风险识别</w:t>
          </w:r>
          <w:r>
            <w:tab/>
          </w:r>
          <w:r>
            <w:fldChar w:fldCharType="begin"/>
          </w:r>
          <w:r>
            <w:instrText xml:space="preserve"> PAGEREF _Toc31589 \h </w:instrText>
          </w:r>
          <w:r>
            <w:fldChar w:fldCharType="separate"/>
          </w:r>
          <w:r>
            <w:t>9</w:t>
          </w:r>
          <w:r>
            <w:fldChar w:fldCharType="end"/>
          </w:r>
          <w:r>
            <w:rPr>
              <w:rFonts w:hint="eastAsia" w:ascii="宋体" w:hAnsi="宋体" w:eastAsia="宋体" w:cs="宋体"/>
              <w:szCs w:val="24"/>
            </w:rPr>
            <w:fldChar w:fldCharType="end"/>
          </w:r>
        </w:p>
        <w:p w14:paraId="7F4FE9B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_Toc10760 </w:instrText>
          </w:r>
          <w:r>
            <w:rPr>
              <w:rFonts w:hint="eastAsia" w:ascii="宋体" w:hAnsi="宋体" w:eastAsia="宋体" w:cs="宋体"/>
              <w:szCs w:val="24"/>
            </w:rPr>
            <w:fldChar w:fldCharType="separate"/>
          </w:r>
          <w:r>
            <w:rPr>
              <w:rFonts w:hint="default"/>
            </w:rPr>
            <w:t xml:space="preserve">5.2.2. </w:t>
          </w:r>
          <w:r>
            <w:rPr>
              <w:rFonts w:hint="eastAsia"/>
            </w:rPr>
            <w:t>风险评估</w:t>
          </w:r>
          <w:r>
            <w:tab/>
          </w:r>
          <w:r>
            <w:fldChar w:fldCharType="begin"/>
          </w:r>
          <w:r>
            <w:instrText xml:space="preserve"> PAGEREF _Toc10760 \h </w:instrText>
          </w:r>
          <w:r>
            <w:fldChar w:fldCharType="separate"/>
          </w:r>
          <w:r>
            <w:t>9</w:t>
          </w:r>
          <w:r>
            <w:fldChar w:fldCharType="end"/>
          </w:r>
          <w:r>
            <w:rPr>
              <w:rFonts w:hint="eastAsia" w:ascii="宋体" w:hAnsi="宋体" w:eastAsia="宋体" w:cs="宋体"/>
              <w:szCs w:val="24"/>
            </w:rPr>
            <w:fldChar w:fldCharType="end"/>
          </w:r>
        </w:p>
        <w:p w14:paraId="6C90BF0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_Toc26615 </w:instrText>
          </w:r>
          <w:r>
            <w:rPr>
              <w:rFonts w:hint="eastAsia" w:ascii="宋体" w:hAnsi="宋体" w:eastAsia="宋体" w:cs="宋体"/>
              <w:szCs w:val="24"/>
            </w:rPr>
            <w:fldChar w:fldCharType="separate"/>
          </w:r>
          <w:r>
            <w:rPr>
              <w:rFonts w:hint="default"/>
            </w:rPr>
            <w:t xml:space="preserve">5.2.3. </w:t>
          </w:r>
          <w:r>
            <w:t>风险值计算与评价</w:t>
          </w:r>
          <w:r>
            <w:tab/>
          </w:r>
          <w:r>
            <w:fldChar w:fldCharType="begin"/>
          </w:r>
          <w:r>
            <w:instrText xml:space="preserve"> PAGEREF _Toc26615 \h </w:instrText>
          </w:r>
          <w:r>
            <w:fldChar w:fldCharType="separate"/>
          </w:r>
          <w:r>
            <w:t>10</w:t>
          </w:r>
          <w:r>
            <w:fldChar w:fldCharType="end"/>
          </w:r>
          <w:r>
            <w:rPr>
              <w:rFonts w:hint="eastAsia" w:ascii="宋体" w:hAnsi="宋体" w:eastAsia="宋体" w:cs="宋体"/>
              <w:szCs w:val="24"/>
            </w:rPr>
            <w:fldChar w:fldCharType="end"/>
          </w:r>
        </w:p>
        <w:p w14:paraId="3351C2C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_Toc3090 </w:instrText>
          </w:r>
          <w:r>
            <w:rPr>
              <w:rFonts w:hint="eastAsia" w:ascii="宋体" w:hAnsi="宋体" w:eastAsia="宋体" w:cs="宋体"/>
              <w:szCs w:val="24"/>
            </w:rPr>
            <w:fldChar w:fldCharType="separate"/>
          </w:r>
          <w:r>
            <w:rPr>
              <w:rFonts w:hint="default"/>
            </w:rPr>
            <w:t xml:space="preserve">5.2.4. </w:t>
          </w:r>
          <w:r>
            <w:rPr>
              <w:rFonts w:hint="eastAsia"/>
            </w:rPr>
            <w:t>风险处置</w:t>
          </w:r>
          <w:r>
            <w:tab/>
          </w:r>
          <w:r>
            <w:fldChar w:fldCharType="begin"/>
          </w:r>
          <w:r>
            <w:instrText xml:space="preserve"> PAGEREF _Toc3090 \h </w:instrText>
          </w:r>
          <w:r>
            <w:fldChar w:fldCharType="separate"/>
          </w:r>
          <w:r>
            <w:t>11</w:t>
          </w:r>
          <w:r>
            <w:fldChar w:fldCharType="end"/>
          </w:r>
          <w:r>
            <w:rPr>
              <w:rFonts w:hint="eastAsia" w:ascii="宋体" w:hAnsi="宋体" w:eastAsia="宋体" w:cs="宋体"/>
              <w:szCs w:val="24"/>
            </w:rPr>
            <w:fldChar w:fldCharType="end"/>
          </w:r>
        </w:p>
        <w:p w14:paraId="56B8C6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_Toc5052 </w:instrText>
          </w:r>
          <w:r>
            <w:rPr>
              <w:rFonts w:hint="eastAsia" w:ascii="宋体" w:hAnsi="宋体" w:eastAsia="宋体" w:cs="宋体"/>
              <w:szCs w:val="24"/>
            </w:rPr>
            <w:fldChar w:fldCharType="separate"/>
          </w:r>
          <w:r>
            <w:rPr>
              <w:rFonts w:hint="default"/>
            </w:rPr>
            <w:t xml:space="preserve">5.2.5. </w:t>
          </w:r>
          <w:r>
            <w:rPr>
              <w:rFonts w:hint="eastAsia"/>
            </w:rPr>
            <w:t>定期评估</w:t>
          </w:r>
          <w:r>
            <w:tab/>
          </w:r>
          <w:r>
            <w:fldChar w:fldCharType="begin"/>
          </w:r>
          <w:r>
            <w:instrText xml:space="preserve"> PAGEREF _Toc5052 \h </w:instrText>
          </w:r>
          <w:r>
            <w:fldChar w:fldCharType="separate"/>
          </w:r>
          <w:r>
            <w:t>11</w:t>
          </w:r>
          <w:r>
            <w:fldChar w:fldCharType="end"/>
          </w:r>
          <w:r>
            <w:rPr>
              <w:rFonts w:hint="eastAsia" w:ascii="宋体" w:hAnsi="宋体" w:eastAsia="宋体" w:cs="宋体"/>
              <w:szCs w:val="24"/>
            </w:rPr>
            <w:fldChar w:fldCharType="end"/>
          </w:r>
        </w:p>
        <w:p w14:paraId="79DBC01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_Toc14275 </w:instrText>
          </w:r>
          <w:r>
            <w:rPr>
              <w:rFonts w:hint="eastAsia" w:ascii="宋体" w:hAnsi="宋体" w:eastAsia="宋体" w:cs="宋体"/>
              <w:szCs w:val="24"/>
            </w:rPr>
            <w:fldChar w:fldCharType="separate"/>
          </w:r>
          <w:r>
            <w:rPr>
              <w:rFonts w:hint="default"/>
              <w:lang w:val="en-US" w:eastAsia="zh-CN"/>
            </w:rPr>
            <w:t xml:space="preserve">5.2.6. </w:t>
          </w:r>
          <w:r>
            <w:rPr>
              <w:rFonts w:hint="eastAsia"/>
              <w:lang w:val="en-US" w:eastAsia="zh-CN"/>
            </w:rPr>
            <w:t>信息安全培训</w:t>
          </w:r>
          <w:r>
            <w:tab/>
          </w:r>
          <w:r>
            <w:fldChar w:fldCharType="begin"/>
          </w:r>
          <w:r>
            <w:instrText xml:space="preserve"> PAGEREF _Toc14275 \h </w:instrText>
          </w:r>
          <w:r>
            <w:fldChar w:fldCharType="separate"/>
          </w:r>
          <w:r>
            <w:t>11</w:t>
          </w:r>
          <w:r>
            <w:fldChar w:fldCharType="end"/>
          </w:r>
          <w:r>
            <w:rPr>
              <w:rFonts w:hint="eastAsia" w:ascii="宋体" w:hAnsi="宋体" w:eastAsia="宋体" w:cs="宋体"/>
              <w:szCs w:val="24"/>
            </w:rPr>
            <w:fldChar w:fldCharType="end"/>
          </w:r>
        </w:p>
        <w:p w14:paraId="4032D0B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_Toc5583 </w:instrText>
          </w:r>
          <w:r>
            <w:rPr>
              <w:rFonts w:hint="eastAsia" w:ascii="宋体" w:hAnsi="宋体" w:eastAsia="宋体" w:cs="宋体"/>
              <w:szCs w:val="24"/>
            </w:rPr>
            <w:fldChar w:fldCharType="separate"/>
          </w:r>
          <w:r>
            <w:rPr>
              <w:rFonts w:hint="default"/>
            </w:rPr>
            <w:t xml:space="preserve">5.3. </w:t>
          </w:r>
          <w:r>
            <w:t>考核指标</w:t>
          </w:r>
          <w:r>
            <w:tab/>
          </w:r>
          <w:r>
            <w:fldChar w:fldCharType="begin"/>
          </w:r>
          <w:r>
            <w:instrText xml:space="preserve"> PAGEREF _Toc5583 \h </w:instrText>
          </w:r>
          <w:r>
            <w:fldChar w:fldCharType="separate"/>
          </w:r>
          <w:r>
            <w:t>12</w:t>
          </w:r>
          <w:r>
            <w:fldChar w:fldCharType="end"/>
          </w:r>
          <w:r>
            <w:rPr>
              <w:rFonts w:hint="eastAsia" w:ascii="宋体" w:hAnsi="宋体" w:eastAsia="宋体" w:cs="宋体"/>
              <w:szCs w:val="24"/>
            </w:rPr>
            <w:fldChar w:fldCharType="end"/>
          </w:r>
        </w:p>
        <w:p w14:paraId="4C2666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_Toc27576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_Toc27576 \h </w:instrText>
          </w:r>
          <w:r>
            <w:fldChar w:fldCharType="separate"/>
          </w:r>
          <w:r>
            <w:t>12</w:t>
          </w:r>
          <w:r>
            <w:fldChar w:fldCharType="end"/>
          </w:r>
          <w:r>
            <w:rPr>
              <w:rFonts w:hint="eastAsia" w:ascii="宋体" w:hAnsi="宋体" w:eastAsia="宋体" w:cs="宋体"/>
              <w:szCs w:val="24"/>
            </w:rPr>
            <w:fldChar w:fldCharType="end"/>
          </w:r>
        </w:p>
        <w:p w14:paraId="1A67A29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_Toc28291 \h </w:instrText>
          </w:r>
          <w:r>
            <w:fldChar w:fldCharType="separate"/>
          </w:r>
          <w:r>
            <w:t>12</w:t>
          </w:r>
          <w:r>
            <w:fldChar w:fldCharType="end"/>
          </w:r>
          <w:r>
            <w:rPr>
              <w:rFonts w:hint="eastAsia" w:ascii="宋体" w:hAnsi="宋体" w:eastAsia="宋体" w:cs="宋体"/>
              <w:szCs w:val="24"/>
            </w:rPr>
            <w:fldChar w:fldCharType="end"/>
          </w:r>
        </w:p>
        <w:p w14:paraId="41AB27F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_Toc6779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_Toc6779 \h </w:instrText>
          </w:r>
          <w:r>
            <w:fldChar w:fldCharType="separate"/>
          </w:r>
          <w:r>
            <w:t>12</w:t>
          </w:r>
          <w:r>
            <w:fldChar w:fldCharType="end"/>
          </w:r>
          <w:r>
            <w:rPr>
              <w:rFonts w:hint="eastAsia" w:ascii="宋体" w:hAnsi="宋体" w:eastAsia="宋体" w:cs="宋体"/>
              <w:szCs w:val="24"/>
            </w:rPr>
            <w:fldChar w:fldCharType="end"/>
          </w:r>
        </w:p>
        <w:p w14:paraId="4D0C28F0">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54E9645">
      <w:pPr>
        <w:pStyle w:val="28"/>
        <w:bidi w:val="0"/>
      </w:pPr>
      <w:bookmarkStart w:id="2" w:name="_Toc20485"/>
      <w:r>
        <w:t>目的</w:t>
      </w:r>
      <w:bookmarkEnd w:id="2"/>
    </w:p>
    <w:p w14:paraId="402BEE81">
      <w:pPr>
        <w:pStyle w:val="29"/>
        <w:bidi w:val="0"/>
      </w:pPr>
      <w:r>
        <w:t>本</w:t>
      </w:r>
      <w:r>
        <w:rPr>
          <w:rFonts w:hint="eastAsia"/>
          <w:lang w:val="en-US" w:eastAsia="zh-CN"/>
        </w:rPr>
        <w:t>制度</w:t>
      </w:r>
      <w:r>
        <w:t>的目的是在客户服务工作中有效管理信息安全</w:t>
      </w:r>
      <w:r>
        <w:rPr>
          <w:rFonts w:hint="eastAsia"/>
          <w:lang w:eastAsia="zh-CN"/>
        </w:rPr>
        <w:t>，</w:t>
      </w:r>
      <w:r>
        <w:rPr>
          <w:rFonts w:hint="eastAsia"/>
          <w:lang w:val="en-US" w:eastAsia="zh-CN"/>
        </w:rPr>
        <w:t>主要包含以下几点：</w:t>
      </w:r>
    </w:p>
    <w:p w14:paraId="0CF80590">
      <w:pPr>
        <w:pStyle w:val="29"/>
        <w:numPr>
          <w:ilvl w:val="0"/>
          <w:numId w:val="2"/>
        </w:numPr>
        <w:bidi w:val="0"/>
        <w:ind w:left="425" w:leftChars="0" w:hanging="425" w:firstLineChars="0"/>
      </w:pPr>
      <w:r>
        <w:t>满足信息系统集成、软件运维项目运行和客户服务中的安全性需求以及合同、法律和外部政策等外部要求；</w:t>
      </w:r>
    </w:p>
    <w:p w14:paraId="373857BC">
      <w:pPr>
        <w:pStyle w:val="29"/>
        <w:numPr>
          <w:ilvl w:val="0"/>
          <w:numId w:val="2"/>
        </w:numPr>
        <w:bidi w:val="0"/>
        <w:ind w:left="425" w:leftChars="0" w:hanging="425" w:firstLineChars="0"/>
      </w:pPr>
      <w:r>
        <w:t>提供一个满足需求的基本的信息系统安全基线；</w:t>
      </w:r>
    </w:p>
    <w:p w14:paraId="6B01722E">
      <w:pPr>
        <w:pStyle w:val="29"/>
        <w:numPr>
          <w:ilvl w:val="0"/>
          <w:numId w:val="2"/>
        </w:numPr>
        <w:bidi w:val="0"/>
        <w:ind w:left="425" w:leftChars="0" w:hanging="425" w:firstLineChars="0"/>
      </w:pPr>
      <w:r>
        <w:t>确保有效的信息安全措施在公司、交付部与</w:t>
      </w:r>
      <w:r>
        <w:rPr>
          <w:rFonts w:hint="eastAsia"/>
          <w:lang w:val="en-US" w:eastAsia="zh-CN"/>
        </w:rPr>
        <w:t>研发部</w:t>
      </w:r>
      <w:r>
        <w:t>和</w:t>
      </w:r>
      <w:r>
        <w:rPr>
          <w:rFonts w:hint="eastAsia"/>
          <w:lang w:val="en-US" w:eastAsia="zh-CN"/>
        </w:rPr>
        <w:t>服务台</w:t>
      </w:r>
      <w:r>
        <w:t>三个层面都得到贯彻。</w:t>
      </w:r>
    </w:p>
    <w:p w14:paraId="6605BBB8">
      <w:pPr>
        <w:pStyle w:val="28"/>
        <w:bidi w:val="0"/>
        <w:rPr>
          <w:rFonts w:hint="eastAsia"/>
          <w:lang w:val="en-US" w:eastAsia="zh-CN"/>
        </w:rPr>
      </w:pPr>
      <w:bookmarkStart w:id="3" w:name="_Toc3355"/>
      <w:r>
        <w:rPr>
          <w:rFonts w:hint="eastAsia"/>
          <w:lang w:val="en-US" w:eastAsia="zh-CN"/>
        </w:rPr>
        <w:t>原则</w:t>
      </w:r>
      <w:bookmarkEnd w:id="3"/>
    </w:p>
    <w:p w14:paraId="77C64972">
      <w:pPr>
        <w:pStyle w:val="29"/>
        <w:bidi w:val="0"/>
        <w:rPr>
          <w:rFonts w:hint="eastAsia"/>
          <w:lang w:val="en-US" w:eastAsia="zh-CN"/>
        </w:rPr>
      </w:pPr>
      <w:r>
        <w:t>在保障可用性的前提下，保护信息的机密性与完整性，并基于风险实施全面、持续、闭环的管理。</w:t>
      </w:r>
    </w:p>
    <w:p w14:paraId="4F2F1B5A">
      <w:pPr>
        <w:pStyle w:val="28"/>
        <w:bidi w:val="0"/>
      </w:pPr>
      <w:bookmarkStart w:id="4" w:name="_Toc22248"/>
      <w:r>
        <w:rPr>
          <w:rFonts w:hint="eastAsia"/>
          <w:lang w:val="en-US" w:eastAsia="zh-CN"/>
        </w:rPr>
        <w:t>适用</w:t>
      </w:r>
      <w:r>
        <w:t>范围</w:t>
      </w:r>
      <w:bookmarkEnd w:id="4"/>
    </w:p>
    <w:p w14:paraId="079F2E57">
      <w:pPr>
        <w:pStyle w:val="29"/>
        <w:bidi w:val="0"/>
      </w:pPr>
      <w:r>
        <w:t>适用于</w:t>
      </w:r>
      <w:r>
        <w:rPr>
          <w:rFonts w:hint="eastAsia"/>
          <w:lang w:val="en-US" w:eastAsia="zh-CN"/>
        </w:rPr>
        <w:t>运维服务过程中</w:t>
      </w:r>
      <w:r>
        <w:t>所有部门</w:t>
      </w:r>
    </w:p>
    <w:p w14:paraId="6E0C9719">
      <w:pPr>
        <w:pStyle w:val="28"/>
        <w:bidi w:val="0"/>
        <w:rPr>
          <w:rFonts w:hint="eastAsia"/>
          <w:lang w:val="en-US" w:eastAsia="zh-CN"/>
        </w:rPr>
      </w:pPr>
      <w:bookmarkStart w:id="5" w:name="_Toc17865"/>
      <w:r>
        <w:rPr>
          <w:rFonts w:hint="eastAsia"/>
          <w:lang w:val="en-US" w:eastAsia="zh-CN"/>
        </w:rPr>
        <w:t>岗位职责</w:t>
      </w:r>
      <w:bookmarkEnd w:id="5"/>
    </w:p>
    <w:p w14:paraId="2F5497DA">
      <w:pPr>
        <w:pStyle w:val="30"/>
        <w:bidi w:val="0"/>
        <w:rPr>
          <w:rFonts w:hint="eastAsia"/>
          <w:lang w:val="en-US" w:eastAsia="zh-CN"/>
        </w:rPr>
      </w:pPr>
      <w:bookmarkStart w:id="6" w:name="_Toc26108"/>
      <w:r>
        <w:rPr>
          <w:rFonts w:hint="eastAsia"/>
          <w:lang w:val="en-US" w:eastAsia="zh-CN"/>
        </w:rPr>
        <w:t>交付部</w:t>
      </w:r>
      <w:bookmarkEnd w:id="6"/>
    </w:p>
    <w:p w14:paraId="19CD69F8">
      <w:pPr>
        <w:pStyle w:val="39"/>
        <w:numPr>
          <w:ilvl w:val="0"/>
          <w:numId w:val="3"/>
        </w:numPr>
        <w:bidi w:val="0"/>
      </w:pPr>
      <w:r>
        <w:t>监控安全管理流程；</w:t>
      </w:r>
    </w:p>
    <w:p w14:paraId="3E5DB60A">
      <w:pPr>
        <w:pStyle w:val="39"/>
        <w:numPr>
          <w:ilvl w:val="0"/>
          <w:numId w:val="3"/>
        </w:numPr>
        <w:bidi w:val="0"/>
      </w:pPr>
      <w:r>
        <w:t>根据组织安全需求，开发与维护安全计划；</w:t>
      </w:r>
    </w:p>
    <w:p w14:paraId="5F411762">
      <w:pPr>
        <w:pStyle w:val="39"/>
        <w:numPr>
          <w:ilvl w:val="0"/>
          <w:numId w:val="3"/>
        </w:numPr>
        <w:bidi w:val="0"/>
      </w:pPr>
      <w:r>
        <w:t>处理与安全相关的问题和事件；</w:t>
      </w:r>
    </w:p>
    <w:p w14:paraId="0AA2CE0D">
      <w:pPr>
        <w:pStyle w:val="39"/>
        <w:numPr>
          <w:ilvl w:val="0"/>
          <w:numId w:val="3"/>
        </w:numPr>
        <w:bidi w:val="0"/>
      </w:pPr>
      <w:r>
        <w:t>确保满足SLA中指定的安全需求；</w:t>
      </w:r>
    </w:p>
    <w:p w14:paraId="0FAA178A">
      <w:pPr>
        <w:pStyle w:val="39"/>
        <w:numPr>
          <w:ilvl w:val="0"/>
          <w:numId w:val="3"/>
        </w:numPr>
        <w:bidi w:val="0"/>
      </w:pPr>
      <w:r>
        <w:t>完成包含流程结果，自评估及内部审计的信息安全风险评估报告；</w:t>
      </w:r>
    </w:p>
    <w:p w14:paraId="657F4542">
      <w:pPr>
        <w:pStyle w:val="39"/>
        <w:numPr>
          <w:ilvl w:val="0"/>
          <w:numId w:val="3"/>
        </w:numPr>
        <w:bidi w:val="0"/>
      </w:pPr>
      <w:r>
        <w:t>负责制定运维安全范围和规范、表格。</w:t>
      </w:r>
    </w:p>
    <w:p w14:paraId="003B8B0A">
      <w:pPr>
        <w:pStyle w:val="39"/>
        <w:numPr>
          <w:ilvl w:val="0"/>
          <w:numId w:val="3"/>
        </w:numPr>
        <w:bidi w:val="0"/>
      </w:pPr>
      <w:r>
        <w:t>负责安排项目中的信息安全风险评估；</w:t>
      </w:r>
    </w:p>
    <w:p w14:paraId="753431A4">
      <w:pPr>
        <w:pStyle w:val="39"/>
        <w:numPr>
          <w:ilvl w:val="0"/>
          <w:numId w:val="3"/>
        </w:numPr>
        <w:bidi w:val="0"/>
      </w:pPr>
      <w:r>
        <w:t>做好用户的沟通，协调关于信息安全的问题。</w:t>
      </w:r>
    </w:p>
    <w:p w14:paraId="65813D5F">
      <w:pPr>
        <w:pStyle w:val="39"/>
        <w:numPr>
          <w:ilvl w:val="0"/>
          <w:numId w:val="3"/>
        </w:numPr>
        <w:bidi w:val="0"/>
      </w:pPr>
      <w:r>
        <w:t>负责该项目安全管理的严格实施和持续监控。</w:t>
      </w:r>
    </w:p>
    <w:p w14:paraId="0FD975E6">
      <w:pPr>
        <w:pStyle w:val="39"/>
        <w:numPr>
          <w:ilvl w:val="0"/>
          <w:numId w:val="3"/>
        </w:numPr>
        <w:bidi w:val="0"/>
      </w:pPr>
      <w:r>
        <w:t>出安全报告给用户。</w:t>
      </w:r>
    </w:p>
    <w:p w14:paraId="212510AB">
      <w:pPr>
        <w:pStyle w:val="39"/>
        <w:numPr>
          <w:ilvl w:val="0"/>
          <w:numId w:val="3"/>
        </w:numPr>
        <w:bidi w:val="0"/>
      </w:pPr>
      <w:r>
        <w:t>负责记录系统运行过程中的信息安全事件记录。</w:t>
      </w:r>
    </w:p>
    <w:p w14:paraId="23361E94">
      <w:pPr>
        <w:pStyle w:val="39"/>
        <w:numPr>
          <w:ilvl w:val="0"/>
          <w:numId w:val="3"/>
        </w:numPr>
        <w:bidi w:val="0"/>
      </w:pPr>
      <w:r>
        <w:t>负责现场处理系统运行过程中的信息安全事件。</w:t>
      </w:r>
    </w:p>
    <w:p w14:paraId="70257513">
      <w:pPr>
        <w:pStyle w:val="28"/>
        <w:bidi w:val="0"/>
        <w:rPr>
          <w:rFonts w:hint="default"/>
          <w:lang w:val="en-US" w:eastAsia="zh-CN"/>
        </w:rPr>
      </w:pPr>
      <w:bookmarkStart w:id="7" w:name="_Toc2512"/>
      <w:r>
        <w:rPr>
          <w:rFonts w:hint="eastAsia"/>
          <w:lang w:val="en-US" w:eastAsia="zh-CN"/>
        </w:rPr>
        <w:t>信息安全管理流程</w:t>
      </w:r>
      <w:bookmarkEnd w:id="7"/>
    </w:p>
    <w:p w14:paraId="438196D7">
      <w:pPr>
        <w:pStyle w:val="29"/>
        <w:rPr>
          <w:rFonts w:hint="eastAsia"/>
          <w:lang w:val="en-US" w:eastAsia="zh-CN"/>
        </w:rPr>
      </w:pPr>
      <w:r>
        <w:rPr>
          <w:rFonts w:hint="eastAsia"/>
          <w:lang w:val="en-US" w:eastAsia="zh-CN"/>
        </w:rPr>
        <w:t>信息安全管理流程，如图5-1所示</w:t>
      </w:r>
    </w:p>
    <w:p w14:paraId="137338B6">
      <w:pPr>
        <w:pStyle w:val="29"/>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信息安全管理流程</w:t>
      </w:r>
    </w:p>
    <w:p w14:paraId="6E0A5DCD">
      <w:pPr>
        <w:pStyle w:val="29"/>
        <w:jc w:val="left"/>
        <w:rPr>
          <w:rFonts w:hint="default"/>
          <w:lang w:val="en-US" w:eastAsia="zh-CN"/>
        </w:rPr>
      </w:pPr>
      <w:r>
        <w:rPr>
          <w:rFonts w:hint="default"/>
          <w:lang w:val="en-US" w:eastAsia="zh-CN"/>
        </w:rPr>
        <w:object>
          <v:shape id="_x0000_i1025" o:spt="75" type="#_x0000_t75" style="height:371.65pt;width:536.3pt;" o:ole="t" filled="f" o:preferrelative="t"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14:paraId="397A4F9B">
      <w:pPr>
        <w:pStyle w:val="30"/>
        <w:bidi w:val="0"/>
        <w:rPr>
          <w:rFonts w:hint="default"/>
          <w:lang w:val="en-US" w:eastAsia="zh-CN"/>
        </w:rPr>
      </w:pPr>
      <w:bookmarkStart w:id="8" w:name="_Toc28730"/>
      <w:r>
        <w:rPr>
          <w:rStyle w:val="42"/>
          <w:rFonts w:hint="eastAsia"/>
          <w:lang w:val="en-US" w:eastAsia="zh-CN"/>
        </w:rPr>
        <w:t>过程描述</w:t>
      </w:r>
      <w:bookmarkEnd w:id="8"/>
    </w:p>
    <w:p w14:paraId="7768F1E4">
      <w:pPr>
        <w:pStyle w:val="29"/>
        <w:bidi w:val="0"/>
      </w:pPr>
      <w:r>
        <w:t>信息安全活动划分为三个部分，包括规划、实施和监控。规划包括需求识别和分析、确定安全实施范围、信息安全风险评估、安全规范设计；实施包括安全规范实施；监控包括安全状况监控、维护安全规范、信息安全报告。</w:t>
      </w:r>
    </w:p>
    <w:p w14:paraId="1A2CF235">
      <w:pPr>
        <w:pStyle w:val="31"/>
        <w:bidi w:val="0"/>
      </w:pPr>
      <w:bookmarkStart w:id="9" w:name="_Toc27068"/>
      <w:r>
        <w:t>需求识别和分析</w:t>
      </w:r>
      <w:bookmarkEnd w:id="9"/>
    </w:p>
    <w:p w14:paraId="55FC3EB5">
      <w:pPr>
        <w:pStyle w:val="29"/>
        <w:bidi w:val="0"/>
      </w:pPr>
      <w:r>
        <w:t>根据服务级别协议中签订的关于安全的详细说明，确定安全需求并进行分析。服务级别协议中应该定义安全需求，在可能的情况下还应该以可测度的术语进行定义。该协议的安全部分应当确保客户所有的安全需求和标准能够实现，并且实现的结果能够进行明确的验证。需求识别的范围包括人员安全、数据安全、机房环境、设备安全、系统安全等的安全需求。</w:t>
      </w:r>
    </w:p>
    <w:p w14:paraId="5E1BC6CC">
      <w:pPr>
        <w:pStyle w:val="31"/>
        <w:bidi w:val="0"/>
      </w:pPr>
      <w:bookmarkStart w:id="10" w:name="_Toc20394"/>
      <w:r>
        <w:t>确定安全实施范围</w:t>
      </w:r>
      <w:bookmarkEnd w:id="10"/>
    </w:p>
    <w:p w14:paraId="0548B5C9">
      <w:pPr>
        <w:pStyle w:val="29"/>
        <w:bidi w:val="0"/>
      </w:pPr>
      <w:r>
        <w:t>根据安全需求的识别情况确定安全实施范围。安全实施范围包括列为相应安全等级的数据、人员、机房、设备、系统等。</w:t>
      </w:r>
    </w:p>
    <w:p w14:paraId="75882B87">
      <w:pPr>
        <w:pStyle w:val="31"/>
        <w:bidi w:val="0"/>
      </w:pPr>
      <w:bookmarkStart w:id="11" w:name="bookmark15"/>
      <w:bookmarkEnd w:id="11"/>
      <w:bookmarkStart w:id="12" w:name="_Toc23666"/>
      <w:r>
        <w:t>信息安全风险评估</w:t>
      </w:r>
      <w:bookmarkEnd w:id="12"/>
    </w:p>
    <w:p w14:paraId="3B21803B">
      <w:pPr>
        <w:pStyle w:val="29"/>
        <w:bidi w:val="0"/>
      </w:pPr>
      <w:r>
        <w:rPr>
          <w:rFonts w:hint="eastAsia"/>
          <w:lang w:val="en-US" w:eastAsia="zh-CN"/>
        </w:rPr>
        <w:t>运维服务</w:t>
      </w:r>
      <w:r>
        <w:t>人员根据确定的安全实施范围进行风险分析与评估工作，并提交风险分析与评估报告。</w:t>
      </w:r>
    </w:p>
    <w:p w14:paraId="3787E2FA">
      <w:pPr>
        <w:pStyle w:val="29"/>
        <w:bidi w:val="0"/>
      </w:pPr>
      <w:r>
        <w:t>风险评估包括识别安全实施范围内的资产状况、资产面临的威胁，在使用的技术方法和管理规范，进行总体分析得出风险的等级，编制《风险评估报告》。</w:t>
      </w:r>
    </w:p>
    <w:p w14:paraId="008163D6">
      <w:pPr>
        <w:pStyle w:val="31"/>
        <w:bidi w:val="0"/>
      </w:pPr>
      <w:bookmarkStart w:id="13" w:name="bookmark16"/>
      <w:bookmarkEnd w:id="13"/>
      <w:bookmarkStart w:id="14" w:name="_Toc6293"/>
      <w:r>
        <w:t>设计安全规范</w:t>
      </w:r>
      <w:bookmarkEnd w:id="14"/>
    </w:p>
    <w:p w14:paraId="6049C6C1">
      <w:pPr>
        <w:pStyle w:val="29"/>
        <w:bidi w:val="0"/>
      </w:pPr>
      <w:r>
        <w:t>根据《风险评估报告》，</w:t>
      </w:r>
      <w:r>
        <w:rPr>
          <w:rFonts w:hint="eastAsia"/>
          <w:lang w:val="en-US" w:eastAsia="zh-CN"/>
        </w:rPr>
        <w:t>运维服务人员</w:t>
      </w:r>
      <w:r>
        <w:t>制定和编写《信息安全管理</w:t>
      </w:r>
      <w:r>
        <w:rPr>
          <w:rFonts w:hint="eastAsia"/>
          <w:lang w:val="en-US" w:eastAsia="zh-CN"/>
        </w:rPr>
        <w:t>制度</w:t>
      </w:r>
      <w:r>
        <w:t>》 。并根据信息安全规范制定信息安全策略、针对个人的保密协议、岗位职责说明、机房管理制度。</w:t>
      </w:r>
    </w:p>
    <w:p w14:paraId="50B2A7C3">
      <w:pPr>
        <w:pStyle w:val="31"/>
        <w:bidi w:val="0"/>
      </w:pPr>
      <w:bookmarkStart w:id="15" w:name="bookmark17"/>
      <w:bookmarkEnd w:id="15"/>
      <w:bookmarkStart w:id="16" w:name="_Toc8747"/>
      <w:r>
        <w:t>实施安全规范</w:t>
      </w:r>
      <w:bookmarkEnd w:id="16"/>
    </w:p>
    <w:p w14:paraId="5D4D83E3">
      <w:pPr>
        <w:pStyle w:val="29"/>
        <w:bidi w:val="0"/>
      </w:pPr>
      <w:r>
        <w:t>在设计好安全规范后，日常需按照安全规范来实施安全管理。</w:t>
      </w:r>
    </w:p>
    <w:p w14:paraId="3302640F">
      <w:pPr>
        <w:pStyle w:val="29"/>
        <w:numPr>
          <w:ilvl w:val="0"/>
          <w:numId w:val="4"/>
        </w:numPr>
        <w:bidi w:val="0"/>
        <w:ind w:left="425" w:leftChars="0" w:hanging="425" w:firstLineChars="0"/>
      </w:pPr>
      <w:r>
        <w:t xml:space="preserve"> 在人员安全方面的实施：</w:t>
      </w:r>
    </w:p>
    <w:p w14:paraId="1162C2B0">
      <w:pPr>
        <w:pStyle w:val="29"/>
        <w:numPr>
          <w:ilvl w:val="0"/>
          <w:numId w:val="5"/>
        </w:numPr>
        <w:bidi w:val="0"/>
        <w:ind w:left="845" w:leftChars="0" w:hanging="425" w:firstLineChars="0"/>
      </w:pPr>
      <w:r>
        <w:t>职位说明中的任务和职责；</w:t>
      </w:r>
    </w:p>
    <w:p w14:paraId="315BEDF4">
      <w:pPr>
        <w:pStyle w:val="29"/>
        <w:numPr>
          <w:ilvl w:val="0"/>
          <w:numId w:val="5"/>
        </w:numPr>
        <w:bidi w:val="0"/>
        <w:ind w:left="845" w:leftChars="0" w:hanging="425" w:firstLineChars="0"/>
      </w:pPr>
      <w:r>
        <w:t>安全防护；</w:t>
      </w:r>
    </w:p>
    <w:p w14:paraId="4991242B">
      <w:pPr>
        <w:pStyle w:val="29"/>
        <w:numPr>
          <w:ilvl w:val="0"/>
          <w:numId w:val="5"/>
        </w:numPr>
        <w:bidi w:val="0"/>
        <w:ind w:left="845" w:leftChars="0" w:hanging="425" w:firstLineChars="0"/>
      </w:pPr>
      <w:r>
        <w:t>针对个人的保密协议；</w:t>
      </w:r>
    </w:p>
    <w:p w14:paraId="68B5B9F7">
      <w:pPr>
        <w:pStyle w:val="29"/>
        <w:numPr>
          <w:ilvl w:val="0"/>
          <w:numId w:val="4"/>
        </w:numPr>
        <w:bidi w:val="0"/>
        <w:ind w:left="425" w:leftChars="0" w:hanging="425" w:firstLineChars="0"/>
      </w:pPr>
      <w:r>
        <w:t>责任划分的实施，以及岗位分离的实施；</w:t>
      </w:r>
    </w:p>
    <w:p w14:paraId="725A3D10">
      <w:pPr>
        <w:pStyle w:val="29"/>
        <w:numPr>
          <w:ilvl w:val="0"/>
          <w:numId w:val="4"/>
        </w:numPr>
        <w:bidi w:val="0"/>
        <w:ind w:left="425" w:leftChars="0" w:hanging="425" w:firstLineChars="0"/>
      </w:pPr>
      <w:r>
        <w:t>书面的操作指示，内部规章；</w:t>
      </w:r>
    </w:p>
    <w:p w14:paraId="172628FF">
      <w:pPr>
        <w:pStyle w:val="29"/>
        <w:numPr>
          <w:ilvl w:val="0"/>
          <w:numId w:val="4"/>
        </w:numPr>
        <w:bidi w:val="0"/>
        <w:ind w:left="425" w:leftChars="0" w:hanging="425" w:firstLineChars="0"/>
      </w:pPr>
      <w:r>
        <w:t>安全问题涉及整个生命周期，应针对系统开发、测试、验收、运营、维护和终止制定安全指南；</w:t>
      </w:r>
    </w:p>
    <w:p w14:paraId="21F53A82">
      <w:pPr>
        <w:pStyle w:val="29"/>
        <w:numPr>
          <w:ilvl w:val="0"/>
          <w:numId w:val="4"/>
        </w:numPr>
        <w:bidi w:val="0"/>
        <w:ind w:left="425" w:leftChars="0" w:hanging="425" w:firstLineChars="0"/>
      </w:pPr>
      <w:r>
        <w:t>将开发和测试环境与实际的运营环境分离开来；</w:t>
      </w:r>
    </w:p>
    <w:p w14:paraId="3B013188">
      <w:pPr>
        <w:pStyle w:val="29"/>
        <w:numPr>
          <w:ilvl w:val="0"/>
          <w:numId w:val="4"/>
        </w:numPr>
        <w:bidi w:val="0"/>
        <w:ind w:left="425" w:leftChars="0" w:hanging="425" w:firstLineChars="0"/>
      </w:pPr>
      <w:r>
        <w:t>处理事件的</w:t>
      </w:r>
      <w:r>
        <w:rPr>
          <w:rFonts w:hint="eastAsia"/>
          <w:lang w:val="en-US" w:eastAsia="zh-CN"/>
        </w:rPr>
        <w:t>制度</w:t>
      </w:r>
      <w:r>
        <w:t>；</w:t>
      </w:r>
    </w:p>
    <w:p w14:paraId="3C7F3A35">
      <w:pPr>
        <w:pStyle w:val="29"/>
        <w:numPr>
          <w:ilvl w:val="0"/>
          <w:numId w:val="4"/>
        </w:numPr>
        <w:bidi w:val="0"/>
        <w:ind w:left="425" w:leftChars="0" w:hanging="425" w:firstLineChars="0"/>
      </w:pPr>
      <w:r>
        <w:t>恢复设施的实施；</w:t>
      </w:r>
    </w:p>
    <w:p w14:paraId="44EF0E63">
      <w:pPr>
        <w:pStyle w:val="29"/>
        <w:numPr>
          <w:ilvl w:val="0"/>
          <w:numId w:val="4"/>
        </w:numPr>
        <w:bidi w:val="0"/>
        <w:ind w:left="425" w:leftChars="0" w:hanging="425" w:firstLineChars="0"/>
      </w:pPr>
      <w:r>
        <w:t>为变更管理提供信息输入，病毒防护措施的实施；</w:t>
      </w:r>
    </w:p>
    <w:p w14:paraId="6CEC3147">
      <w:pPr>
        <w:pStyle w:val="29"/>
        <w:numPr>
          <w:ilvl w:val="0"/>
          <w:numId w:val="4"/>
        </w:numPr>
        <w:bidi w:val="0"/>
        <w:ind w:left="425" w:leftChars="0" w:hanging="425" w:firstLineChars="0"/>
      </w:pPr>
      <w:r>
        <w:t>针对计算机、操作系统、应用系统、数据、网络和网络服务的安全管理措施的实施；</w:t>
      </w:r>
    </w:p>
    <w:p w14:paraId="50A7BBBF">
      <w:pPr>
        <w:pStyle w:val="29"/>
        <w:numPr>
          <w:ilvl w:val="0"/>
          <w:numId w:val="4"/>
        </w:numPr>
        <w:bidi w:val="0"/>
        <w:ind w:left="425" w:leftChars="0" w:hanging="425" w:firstLineChars="0"/>
      </w:pPr>
      <w:r>
        <w:t>数据媒介的处理和安全。</w:t>
      </w:r>
    </w:p>
    <w:p w14:paraId="48F33CE5">
      <w:pPr>
        <w:pStyle w:val="31"/>
        <w:bidi w:val="0"/>
      </w:pPr>
      <w:bookmarkStart w:id="17" w:name="bookmark28"/>
      <w:bookmarkEnd w:id="17"/>
      <w:bookmarkStart w:id="18" w:name="bookmark18"/>
      <w:bookmarkEnd w:id="18"/>
      <w:bookmarkStart w:id="19" w:name="_Toc23320"/>
      <w:r>
        <w:t>监控安全状况</w:t>
      </w:r>
      <w:bookmarkEnd w:id="19"/>
    </w:p>
    <w:p w14:paraId="76CBCA2E">
      <w:pPr>
        <w:pStyle w:val="29"/>
        <w:bidi w:val="0"/>
      </w:pPr>
      <w:r>
        <w:t>对安全规范实施进行监控，在工作周报、服务月报中体现。</w:t>
      </w:r>
    </w:p>
    <w:p w14:paraId="56B830BB">
      <w:pPr>
        <w:pStyle w:val="29"/>
        <w:bidi w:val="0"/>
      </w:pPr>
      <w:r>
        <w:t>对发生的信息安全事件按照《事件管理</w:t>
      </w:r>
      <w:r>
        <w:rPr>
          <w:rFonts w:hint="eastAsia"/>
          <w:lang w:val="en-US" w:eastAsia="zh-CN"/>
        </w:rPr>
        <w:t>制度</w:t>
      </w:r>
      <w:r>
        <w:t>》执行。</w:t>
      </w:r>
    </w:p>
    <w:p w14:paraId="79943A96">
      <w:pPr>
        <w:pStyle w:val="31"/>
        <w:bidi w:val="0"/>
      </w:pPr>
      <w:bookmarkStart w:id="20" w:name="bookmark19"/>
      <w:bookmarkEnd w:id="20"/>
      <w:bookmarkStart w:id="21" w:name="_Toc16436"/>
      <w:r>
        <w:t>维护安全规范</w:t>
      </w:r>
      <w:bookmarkEnd w:id="21"/>
    </w:p>
    <w:p w14:paraId="1367DC4D">
      <w:pPr>
        <w:pStyle w:val="29"/>
        <w:bidi w:val="0"/>
      </w:pPr>
      <w:r>
        <w:rPr>
          <w:rFonts w:hint="eastAsia"/>
          <w:lang w:val="en-US" w:eastAsia="zh-CN"/>
        </w:rPr>
        <w:t>运维服务人员</w:t>
      </w:r>
      <w:r>
        <w:t>根据系统运行及客户服务的风险变化，必要时对《信息安全管理</w:t>
      </w:r>
      <w:r>
        <w:rPr>
          <w:rFonts w:hint="eastAsia"/>
          <w:lang w:val="en-US" w:eastAsia="zh-CN"/>
        </w:rPr>
        <w:t>制度</w:t>
      </w:r>
      <w:r>
        <w:t>》进行修改。</w:t>
      </w:r>
    </w:p>
    <w:p w14:paraId="04DAA7BE">
      <w:pPr>
        <w:pStyle w:val="29"/>
        <w:bidi w:val="0"/>
      </w:pPr>
      <w:r>
        <w:t>由于基础架构、组织和业务流程方面的变化导致相关的风险也随着发生变化，因此安全也需要进行维护。</w:t>
      </w:r>
    </w:p>
    <w:p w14:paraId="795054C6">
      <w:pPr>
        <w:pStyle w:val="29"/>
        <w:bidi w:val="0"/>
      </w:pPr>
      <w:r>
        <w:t>安全维护包括服务级别协议中安全部分的维护以及详细的安全规范的维护。</w:t>
      </w:r>
    </w:p>
    <w:p w14:paraId="53D319D2">
      <w:pPr>
        <w:pStyle w:val="29"/>
        <w:bidi w:val="0"/>
      </w:pPr>
      <w:r>
        <w:t>维护需要根据评估子系统流程的结果以及对风险变化的评估结果进行。这些建议既可以直接被计划子流程所采纳，也可以纳入总体的服务级别协议的维护中。</w:t>
      </w:r>
    </w:p>
    <w:p w14:paraId="610CCA6C">
      <w:pPr>
        <w:pStyle w:val="29"/>
        <w:bidi w:val="0"/>
      </w:pPr>
      <w:r>
        <w:t>安全规范更新通过变更管理实施,参照《变更管理</w:t>
      </w:r>
      <w:r>
        <w:rPr>
          <w:rFonts w:hint="eastAsia"/>
          <w:lang w:val="en-US" w:eastAsia="zh-CN"/>
        </w:rPr>
        <w:t>制度</w:t>
      </w:r>
      <w:r>
        <w:t>》。</w:t>
      </w:r>
    </w:p>
    <w:p w14:paraId="300B16C2">
      <w:pPr>
        <w:pStyle w:val="31"/>
        <w:bidi w:val="0"/>
      </w:pPr>
      <w:bookmarkStart w:id="22" w:name="bookmark20"/>
      <w:bookmarkEnd w:id="22"/>
      <w:bookmarkStart w:id="23" w:name="_Toc10408"/>
      <w:bookmarkStart w:id="24" w:name="_Toc28267"/>
      <w:r>
        <w:t>信息安全报告</w:t>
      </w:r>
      <w:bookmarkEnd w:id="23"/>
      <w:bookmarkEnd w:id="24"/>
    </w:p>
    <w:p w14:paraId="09B94901">
      <w:pPr>
        <w:pStyle w:val="29"/>
        <w:bidi w:val="0"/>
      </w:pPr>
      <w:r>
        <w:rPr>
          <w:rFonts w:hint="eastAsia"/>
          <w:lang w:val="en-US" w:eastAsia="zh-CN"/>
        </w:rPr>
        <w:t>运维服务人员</w:t>
      </w:r>
      <w:r>
        <w:t>根据信息安全管理的实施状况及日常发生的安全事件等，每季一次巡检，如发生信息安全事件则编写《信息安全服务报告》。</w:t>
      </w:r>
    </w:p>
    <w:p w14:paraId="45AB12FC">
      <w:pPr>
        <w:pStyle w:val="29"/>
        <w:bidi w:val="0"/>
      </w:pPr>
      <w:r>
        <w:t>报告可以提供有关已实现安全绩效方面的信息，并可以了解有关的安全问题。</w:t>
      </w:r>
    </w:p>
    <w:p w14:paraId="4C631452">
      <w:pPr>
        <w:pStyle w:val="29"/>
        <w:bidi w:val="0"/>
      </w:pPr>
      <w:r>
        <w:t>正确地了解有关</w:t>
      </w:r>
      <w:r>
        <w:rPr>
          <w:rFonts w:hint="eastAsia"/>
          <w:lang w:val="en-US" w:eastAsia="zh-CN"/>
        </w:rPr>
        <w:t>措施</w:t>
      </w:r>
      <w:r>
        <w:t>（如安全措施的实施）所取得的效率以及实际被采用的安全措施。</w:t>
      </w:r>
    </w:p>
    <w:p w14:paraId="0C8CC55B">
      <w:pPr>
        <w:pStyle w:val="29"/>
        <w:bidi w:val="0"/>
      </w:pPr>
      <w:r>
        <w:t>除了在特殊情形下的例外事项，报告都是通过</w:t>
      </w:r>
      <w:r>
        <w:rPr>
          <w:rFonts w:hint="eastAsia"/>
          <w:lang w:val="en-US" w:eastAsia="zh-CN"/>
        </w:rPr>
        <w:t>运维服务人员</w:t>
      </w:r>
      <w:r>
        <w:t>进行传达的。</w:t>
      </w:r>
    </w:p>
    <w:p w14:paraId="465F4355">
      <w:pPr>
        <w:pStyle w:val="29"/>
        <w:bidi w:val="0"/>
      </w:pPr>
      <w:r>
        <w:t>根据信息安全管理需要报告信息安全的实施情况，并提交给《服务报告》中。参照《服务报告管理</w:t>
      </w:r>
      <w:r>
        <w:rPr>
          <w:rFonts w:hint="eastAsia"/>
          <w:lang w:val="en-US" w:eastAsia="zh-CN"/>
        </w:rPr>
        <w:t>制度</w:t>
      </w:r>
      <w:r>
        <w:t>》</w:t>
      </w:r>
    </w:p>
    <w:p w14:paraId="18FFE7DA">
      <w:pPr>
        <w:pStyle w:val="30"/>
        <w:bidi w:val="0"/>
      </w:pPr>
      <w:bookmarkStart w:id="25" w:name="_Toc25490"/>
      <w:bookmarkStart w:id="26" w:name="_Toc6088"/>
      <w:r>
        <w:rPr>
          <w:rFonts w:hint="eastAsia"/>
          <w:lang w:val="en-US" w:eastAsia="zh-CN"/>
        </w:rPr>
        <w:t>信息安全策略</w:t>
      </w:r>
      <w:bookmarkEnd w:id="25"/>
    </w:p>
    <w:p w14:paraId="1AFC0BF2">
      <w:pPr>
        <w:pStyle w:val="31"/>
        <w:bidi w:val="0"/>
      </w:pPr>
      <w:bookmarkStart w:id="27" w:name="_Toc455763769"/>
      <w:bookmarkStart w:id="28" w:name="_Toc31589"/>
      <w:r>
        <w:rPr>
          <w:rFonts w:hint="eastAsia"/>
        </w:rPr>
        <w:t>风险识别</w:t>
      </w:r>
      <w:bookmarkEnd w:id="27"/>
      <w:bookmarkEnd w:id="28"/>
    </w:p>
    <w:p w14:paraId="158715B0">
      <w:pPr>
        <w:pStyle w:val="29"/>
        <w:numPr>
          <w:ilvl w:val="0"/>
          <w:numId w:val="6"/>
        </w:numPr>
        <w:bidi w:val="0"/>
        <w:ind w:left="425" w:leftChars="0" w:hanging="425" w:firstLineChars="0"/>
      </w:pPr>
      <w:r>
        <w:t>识别风险</w:t>
      </w:r>
    </w:p>
    <w:p w14:paraId="4375CFFD">
      <w:pPr>
        <w:pStyle w:val="29"/>
        <w:bidi w:val="0"/>
        <w:rPr>
          <w:rFonts w:hint="eastAsia"/>
        </w:rPr>
      </w:pPr>
      <w:r>
        <w:rPr>
          <w:rFonts w:hint="eastAsia"/>
        </w:rPr>
        <w:t>识别威胁与脆弱性：基于已识别的资产清单，逐项描述潜在风险并确定其来源。风险的判断可参照《机房环境》、《系统与网络》及《应用系统安全管理规范》。</w:t>
      </w:r>
    </w:p>
    <w:p w14:paraId="4310528B">
      <w:pPr>
        <w:pStyle w:val="29"/>
        <w:bidi w:val="0"/>
        <w:rPr>
          <w:rFonts w:hint="eastAsia"/>
        </w:rPr>
      </w:pPr>
      <w:r>
        <w:rPr>
          <w:rFonts w:hint="eastAsia"/>
        </w:rPr>
        <w:t>威胁：识别来自资产外部的风险因素（如恶意攻击、自然灾害）。</w:t>
      </w:r>
    </w:p>
    <w:p w14:paraId="53C50433">
      <w:pPr>
        <w:pStyle w:val="29"/>
        <w:bidi w:val="0"/>
        <w:rPr>
          <w:rFonts w:hint="eastAsia"/>
        </w:rPr>
      </w:pPr>
      <w:r>
        <w:rPr>
          <w:rFonts w:hint="eastAsia"/>
        </w:rPr>
        <w:t>脆弱性：识别资产自身存在的内部缺陷或弱点（如系统漏洞、配置不当）。</w:t>
      </w:r>
    </w:p>
    <w:p w14:paraId="59B74ABD">
      <w:pPr>
        <w:pStyle w:val="29"/>
        <w:bidi w:val="0"/>
      </w:pPr>
      <w:r>
        <w:rPr>
          <w:rFonts w:hint="eastAsia"/>
        </w:rPr>
        <w:t>嵌入变更管理：在变更审批流程中，必须主动识别因变更可能引发的信息安全风险。信息安全风险评估结果应作为变更决策的关键依据，对于任何违反既定安全要求的变更操作，必须予以终止。</w:t>
      </w:r>
    </w:p>
    <w:p w14:paraId="4B92ADB5">
      <w:pPr>
        <w:pStyle w:val="29"/>
        <w:numPr>
          <w:ilvl w:val="0"/>
          <w:numId w:val="6"/>
        </w:numPr>
        <w:bidi w:val="0"/>
        <w:ind w:left="425" w:leftChars="0" w:hanging="425" w:firstLineChars="0"/>
      </w:pPr>
      <w:r>
        <w:t>确认已经存在的防护及控制措施</w:t>
      </w:r>
    </w:p>
    <w:p w14:paraId="3BE64F55">
      <w:pPr>
        <w:pStyle w:val="29"/>
        <w:bidi w:val="0"/>
        <w:rPr>
          <w:rFonts w:hint="eastAsia"/>
        </w:rPr>
      </w:pPr>
      <w:r>
        <w:rPr>
          <w:rFonts w:hint="eastAsia"/>
        </w:rPr>
        <w:t>梳理现有措施：针对已识别的各项资产，确认并记录已实施的技术与管理控制措施（参照上述各项安全管理规范）。</w:t>
      </w:r>
    </w:p>
    <w:p w14:paraId="0CC8FCD8">
      <w:pPr>
        <w:pStyle w:val="29"/>
        <w:bidi w:val="0"/>
      </w:pPr>
      <w:r>
        <w:rPr>
          <w:rFonts w:hint="eastAsia"/>
        </w:rPr>
        <w:t>评估措施有效性：当IT基础架构因变更而发生变化时，必须对原有防护措施进行重新评估，确保其仍能有效应对新的风险态势，持续满足组织的安全目标。</w:t>
      </w:r>
    </w:p>
    <w:p w14:paraId="3FBF62C2">
      <w:pPr>
        <w:pStyle w:val="31"/>
        <w:bidi w:val="0"/>
      </w:pPr>
      <w:bookmarkStart w:id="29" w:name="_Toc10760"/>
      <w:bookmarkStart w:id="30" w:name="_Toc455763770"/>
      <w:r>
        <w:rPr>
          <w:rFonts w:hint="eastAsia"/>
        </w:rPr>
        <w:t>风险评估</w:t>
      </w:r>
      <w:bookmarkEnd w:id="29"/>
      <w:bookmarkEnd w:id="30"/>
    </w:p>
    <w:p w14:paraId="71A8D59F">
      <w:pPr>
        <w:pStyle w:val="29"/>
        <w:numPr>
          <w:ilvl w:val="0"/>
          <w:numId w:val="7"/>
        </w:numPr>
        <w:ind w:left="425" w:leftChars="0" w:hanging="425" w:firstLineChars="0"/>
        <w:rPr>
          <w:rFonts w:hint="eastAsia"/>
        </w:rPr>
      </w:pPr>
      <w:r>
        <w:rPr>
          <w:rFonts w:hint="eastAsia"/>
        </w:rPr>
        <w:t>实施依据</w:t>
      </w:r>
    </w:p>
    <w:p w14:paraId="5D89EAB9">
      <w:pPr>
        <w:pStyle w:val="29"/>
        <w:rPr>
          <w:rFonts w:hint="eastAsia"/>
        </w:rPr>
      </w:pPr>
      <w:r>
        <w:rPr>
          <w:rFonts w:hint="eastAsia"/>
        </w:rPr>
        <w:t>风险评估应依据公认的国际或国家标准（如ISO/IEC 27005《信息技术-安全技术-信息安全风险管理》）开展。具体实施前，需制定详细的《风险评估实施计划》，以明确范围、方法、资源与时间表。</w:t>
      </w:r>
    </w:p>
    <w:p w14:paraId="517F8603">
      <w:pPr>
        <w:pStyle w:val="29"/>
        <w:numPr>
          <w:ilvl w:val="0"/>
          <w:numId w:val="7"/>
        </w:numPr>
        <w:ind w:left="425" w:leftChars="0" w:hanging="425" w:firstLineChars="0"/>
        <w:rPr>
          <w:rFonts w:hint="eastAsia"/>
        </w:rPr>
      </w:pPr>
      <w:r>
        <w:rPr>
          <w:rFonts w:hint="eastAsia"/>
        </w:rPr>
        <w:t>评估方法</w:t>
      </w:r>
    </w:p>
    <w:p w14:paraId="398DB348">
      <w:pPr>
        <w:pStyle w:val="29"/>
        <w:rPr>
          <w:rFonts w:hint="eastAsia"/>
        </w:rPr>
      </w:pPr>
      <w:r>
        <w:rPr>
          <w:rFonts w:hint="eastAsia"/>
        </w:rPr>
        <w:t>风险评估采用半定量分析法，主要综合考量以下两个维度：</w:t>
      </w:r>
    </w:p>
    <w:p w14:paraId="23311881">
      <w:pPr>
        <w:pStyle w:val="29"/>
      </w:pPr>
      <w:r>
        <w:rPr>
          <w:rFonts w:hint="eastAsia"/>
        </w:rPr>
        <w:t>风险发生概率：预估风险事件发生的可能性，按以下标准进行分级评分：</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173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500" w:type="pct"/>
          </w:tcPr>
          <w:p w14:paraId="475FF23E">
            <w:pPr>
              <w:pStyle w:val="29"/>
              <w:bidi w:val="0"/>
            </w:pPr>
            <w:r>
              <w:t>范围</w:t>
            </w:r>
          </w:p>
        </w:tc>
        <w:tc>
          <w:tcPr>
            <w:tcW w:w="2500" w:type="pct"/>
          </w:tcPr>
          <w:p w14:paraId="65C1870D">
            <w:pPr>
              <w:pStyle w:val="29"/>
              <w:bidi w:val="0"/>
            </w:pPr>
            <w:r>
              <w:t>得分</w:t>
            </w:r>
          </w:p>
        </w:tc>
      </w:tr>
      <w:tr w14:paraId="5BF7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750142A9">
            <w:pPr>
              <w:pStyle w:val="29"/>
              <w:bidi w:val="0"/>
            </w:pPr>
            <w:r>
              <w:rPr>
                <w:rFonts w:hint="eastAsia"/>
              </w:rPr>
              <w:t>1%至20%</w:t>
            </w:r>
          </w:p>
        </w:tc>
        <w:tc>
          <w:tcPr>
            <w:tcW w:w="2500" w:type="pct"/>
          </w:tcPr>
          <w:p w14:paraId="2A58F18D">
            <w:pPr>
              <w:pStyle w:val="29"/>
              <w:bidi w:val="0"/>
            </w:pPr>
            <w:r>
              <w:t>1</w:t>
            </w:r>
          </w:p>
        </w:tc>
      </w:tr>
      <w:tr w14:paraId="166B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1AD9515F">
            <w:pPr>
              <w:pStyle w:val="29"/>
              <w:bidi w:val="0"/>
            </w:pPr>
            <w:r>
              <w:rPr>
                <w:rFonts w:hint="eastAsia"/>
              </w:rPr>
              <w:t>21%至40%</w:t>
            </w:r>
          </w:p>
        </w:tc>
        <w:tc>
          <w:tcPr>
            <w:tcW w:w="2500" w:type="pct"/>
          </w:tcPr>
          <w:p w14:paraId="12030D0C">
            <w:pPr>
              <w:pStyle w:val="29"/>
              <w:bidi w:val="0"/>
            </w:pPr>
            <w:r>
              <w:t>2</w:t>
            </w:r>
          </w:p>
        </w:tc>
      </w:tr>
      <w:tr w14:paraId="12CB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6086A8D6">
            <w:pPr>
              <w:pStyle w:val="29"/>
              <w:bidi w:val="0"/>
            </w:pPr>
            <w:r>
              <w:rPr>
                <w:rFonts w:hint="eastAsia"/>
              </w:rPr>
              <w:t>41%至60%</w:t>
            </w:r>
          </w:p>
        </w:tc>
        <w:tc>
          <w:tcPr>
            <w:tcW w:w="2500" w:type="pct"/>
          </w:tcPr>
          <w:p w14:paraId="4F581EEE">
            <w:pPr>
              <w:pStyle w:val="29"/>
              <w:bidi w:val="0"/>
            </w:pPr>
            <w:r>
              <w:t>3</w:t>
            </w:r>
          </w:p>
        </w:tc>
      </w:tr>
      <w:tr w14:paraId="6D47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14EE8EF2">
            <w:pPr>
              <w:pStyle w:val="29"/>
              <w:bidi w:val="0"/>
            </w:pPr>
            <w:r>
              <w:rPr>
                <w:rFonts w:hint="eastAsia"/>
              </w:rPr>
              <w:t>61%至80%</w:t>
            </w:r>
          </w:p>
        </w:tc>
        <w:tc>
          <w:tcPr>
            <w:tcW w:w="2500" w:type="pct"/>
          </w:tcPr>
          <w:p w14:paraId="4F7873CD">
            <w:pPr>
              <w:pStyle w:val="29"/>
              <w:bidi w:val="0"/>
            </w:pPr>
            <w:r>
              <w:t>4</w:t>
            </w:r>
          </w:p>
        </w:tc>
      </w:tr>
      <w:tr w14:paraId="7124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2D253DDD">
            <w:pPr>
              <w:pStyle w:val="29"/>
              <w:bidi w:val="0"/>
            </w:pPr>
            <w:r>
              <w:rPr>
                <w:rFonts w:hint="eastAsia"/>
              </w:rPr>
              <w:t>81%至100%</w:t>
            </w:r>
          </w:p>
        </w:tc>
        <w:tc>
          <w:tcPr>
            <w:tcW w:w="2500" w:type="pct"/>
          </w:tcPr>
          <w:p w14:paraId="104E9B74">
            <w:pPr>
              <w:pStyle w:val="29"/>
              <w:bidi w:val="0"/>
            </w:pPr>
            <w:r>
              <w:t>5</w:t>
            </w:r>
          </w:p>
        </w:tc>
      </w:tr>
    </w:tbl>
    <w:p w14:paraId="373CD7F8">
      <w:pPr>
        <w:pStyle w:val="29"/>
        <w:bidi w:val="0"/>
      </w:pPr>
      <w:r>
        <w:rPr>
          <w:rFonts w:hint="eastAsia"/>
        </w:rPr>
        <w:t>资产重要度：依据资产的财务价值及其所支撑业务服务的关键性进行综合评定。两项指标中任一项评价为“高”，则资产重要度等级即为高。</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0"/>
        <w:gridCol w:w="3221"/>
        <w:gridCol w:w="2651"/>
      </w:tblGrid>
      <w:tr w14:paraId="5FB7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555" w:type="pct"/>
          </w:tcPr>
          <w:p w14:paraId="5513C1DC">
            <w:pPr>
              <w:pStyle w:val="29"/>
              <w:bidi w:val="0"/>
            </w:pPr>
            <w:r>
              <w:t>原值</w:t>
            </w:r>
          </w:p>
        </w:tc>
        <w:tc>
          <w:tcPr>
            <w:tcW w:w="1890" w:type="pct"/>
          </w:tcPr>
          <w:p w14:paraId="6EDDE231">
            <w:pPr>
              <w:pStyle w:val="29"/>
              <w:bidi w:val="0"/>
            </w:pPr>
            <w:r>
              <w:t>关联的服务重要度</w:t>
            </w:r>
          </w:p>
        </w:tc>
        <w:tc>
          <w:tcPr>
            <w:tcW w:w="1555" w:type="pct"/>
          </w:tcPr>
          <w:p w14:paraId="128E0FE7">
            <w:pPr>
              <w:pStyle w:val="29"/>
              <w:bidi w:val="0"/>
            </w:pPr>
            <w:r>
              <w:t>得分</w:t>
            </w:r>
          </w:p>
        </w:tc>
      </w:tr>
      <w:tr w14:paraId="0A0F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7CBC597E">
            <w:pPr>
              <w:pStyle w:val="29"/>
              <w:bidi w:val="0"/>
            </w:pPr>
            <w:r>
              <w:t>低</w:t>
            </w:r>
          </w:p>
        </w:tc>
        <w:tc>
          <w:tcPr>
            <w:tcW w:w="1890" w:type="pct"/>
          </w:tcPr>
          <w:p w14:paraId="392628BA">
            <w:pPr>
              <w:pStyle w:val="29"/>
              <w:bidi w:val="0"/>
            </w:pPr>
            <w:r>
              <w:t>低</w:t>
            </w:r>
          </w:p>
        </w:tc>
        <w:tc>
          <w:tcPr>
            <w:tcW w:w="1555" w:type="pct"/>
          </w:tcPr>
          <w:p w14:paraId="4E9BF198">
            <w:pPr>
              <w:pStyle w:val="29"/>
              <w:bidi w:val="0"/>
            </w:pPr>
            <w:r>
              <w:t>1</w:t>
            </w:r>
          </w:p>
        </w:tc>
      </w:tr>
      <w:tr w14:paraId="3522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167B1F1C">
            <w:pPr>
              <w:pStyle w:val="29"/>
              <w:bidi w:val="0"/>
            </w:pPr>
            <w:r>
              <w:t>较低</w:t>
            </w:r>
          </w:p>
        </w:tc>
        <w:tc>
          <w:tcPr>
            <w:tcW w:w="1890" w:type="pct"/>
          </w:tcPr>
          <w:p w14:paraId="4846A6EA">
            <w:pPr>
              <w:pStyle w:val="29"/>
              <w:bidi w:val="0"/>
            </w:pPr>
            <w:r>
              <w:t>较低</w:t>
            </w:r>
          </w:p>
        </w:tc>
        <w:tc>
          <w:tcPr>
            <w:tcW w:w="1555" w:type="pct"/>
          </w:tcPr>
          <w:p w14:paraId="61F71EF7">
            <w:pPr>
              <w:pStyle w:val="29"/>
              <w:bidi w:val="0"/>
            </w:pPr>
            <w:r>
              <w:t>2</w:t>
            </w:r>
          </w:p>
        </w:tc>
      </w:tr>
      <w:tr w14:paraId="434E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1716CED8">
            <w:pPr>
              <w:pStyle w:val="29"/>
              <w:bidi w:val="0"/>
            </w:pPr>
            <w:r>
              <w:t>中</w:t>
            </w:r>
          </w:p>
        </w:tc>
        <w:tc>
          <w:tcPr>
            <w:tcW w:w="1890" w:type="pct"/>
          </w:tcPr>
          <w:p w14:paraId="6B0B2A9A">
            <w:pPr>
              <w:pStyle w:val="29"/>
              <w:bidi w:val="0"/>
            </w:pPr>
            <w:r>
              <w:t>中</w:t>
            </w:r>
          </w:p>
        </w:tc>
        <w:tc>
          <w:tcPr>
            <w:tcW w:w="1555" w:type="pct"/>
          </w:tcPr>
          <w:p w14:paraId="1E4E62AA">
            <w:pPr>
              <w:pStyle w:val="29"/>
              <w:bidi w:val="0"/>
            </w:pPr>
            <w:r>
              <w:t>3</w:t>
            </w:r>
          </w:p>
        </w:tc>
      </w:tr>
      <w:tr w14:paraId="6C2E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375F294B">
            <w:pPr>
              <w:pStyle w:val="29"/>
              <w:bidi w:val="0"/>
            </w:pPr>
            <w:r>
              <w:t>较高</w:t>
            </w:r>
          </w:p>
        </w:tc>
        <w:tc>
          <w:tcPr>
            <w:tcW w:w="1890" w:type="pct"/>
          </w:tcPr>
          <w:p w14:paraId="5270805A">
            <w:pPr>
              <w:pStyle w:val="29"/>
              <w:bidi w:val="0"/>
            </w:pPr>
            <w:r>
              <w:t>较高</w:t>
            </w:r>
          </w:p>
        </w:tc>
        <w:tc>
          <w:tcPr>
            <w:tcW w:w="1555" w:type="pct"/>
          </w:tcPr>
          <w:p w14:paraId="76931BE0">
            <w:pPr>
              <w:pStyle w:val="29"/>
              <w:bidi w:val="0"/>
            </w:pPr>
            <w:r>
              <w:t>4</w:t>
            </w:r>
          </w:p>
        </w:tc>
      </w:tr>
      <w:tr w14:paraId="2498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682BF764">
            <w:pPr>
              <w:pStyle w:val="29"/>
              <w:bidi w:val="0"/>
            </w:pPr>
            <w:r>
              <w:t>高</w:t>
            </w:r>
          </w:p>
        </w:tc>
        <w:tc>
          <w:tcPr>
            <w:tcW w:w="1890" w:type="pct"/>
          </w:tcPr>
          <w:p w14:paraId="4F9838ED">
            <w:pPr>
              <w:pStyle w:val="29"/>
              <w:bidi w:val="0"/>
            </w:pPr>
            <w:r>
              <w:t>高</w:t>
            </w:r>
          </w:p>
        </w:tc>
        <w:tc>
          <w:tcPr>
            <w:tcW w:w="1555" w:type="pct"/>
          </w:tcPr>
          <w:p w14:paraId="0445608F">
            <w:pPr>
              <w:pStyle w:val="29"/>
              <w:bidi w:val="0"/>
            </w:pPr>
            <w:r>
              <w:t>5</w:t>
            </w:r>
          </w:p>
        </w:tc>
      </w:tr>
    </w:tbl>
    <w:p w14:paraId="0DE2945B">
      <w:pPr>
        <w:pStyle w:val="31"/>
        <w:bidi w:val="0"/>
      </w:pPr>
      <w:bookmarkStart w:id="31" w:name="_Toc26615"/>
      <w:r>
        <w:t>风险值计算与评价</w:t>
      </w:r>
      <w:bookmarkEnd w:id="31"/>
    </w:p>
    <w:p w14:paraId="51F785A7">
      <w:pPr>
        <w:pStyle w:val="29"/>
      </w:pPr>
      <m:oMathPara>
        <m:oMath>
          <m:r>
            <m:rPr>
              <m:sty m:val="p"/>
            </m:rPr>
            <w:rPr>
              <w:rFonts w:hint="eastAsia"/>
            </w:rPr>
            <m:t>风险值 =资产重要度得分×风险概率得分</m:t>
          </m:r>
        </m:oMath>
      </m:oMathPara>
    </w:p>
    <w:p w14:paraId="6153445E">
      <w:pPr>
        <w:pStyle w:val="29"/>
        <w:bidi w:val="0"/>
        <w:rPr>
          <w:rFonts w:hint="eastAsia"/>
        </w:rPr>
      </w:pPr>
      <w:r>
        <w:rPr>
          <w:rFonts w:hint="eastAsia"/>
        </w:rPr>
        <w:t>计算结果范围为1至25。</w:t>
      </w:r>
    </w:p>
    <w:p w14:paraId="0909C102">
      <w:pPr>
        <w:pStyle w:val="29"/>
        <w:bidi w:val="0"/>
        <w:rPr>
          <w:rFonts w:hint="eastAsia"/>
        </w:rPr>
      </w:pPr>
      <w:r>
        <w:rPr>
          <w:rFonts w:hint="eastAsia"/>
        </w:rPr>
        <w:t>风险等级判定：依据计算出的风险值，结合组织实际情况，划分高、中、低风险等级区间。</w:t>
      </w:r>
    </w:p>
    <w:p w14:paraId="1A038693">
      <w:pPr>
        <w:pStyle w:val="29"/>
        <w:bidi w:val="0"/>
        <w:rPr>
          <w:rFonts w:hint="default" w:eastAsia="宋体"/>
          <w:lang w:val="en-US" w:eastAsia="zh-CN"/>
        </w:rPr>
      </w:pPr>
      <w:r>
        <w:rPr>
          <w:rFonts w:hint="eastAsia"/>
        </w:rPr>
        <w:t>确定可接受水平：组织需依据风险评估结果，并综合考虑控制成本与业务紧迫性，确定可接受的风险水平基准值。</w:t>
      </w:r>
      <w:r>
        <w:rPr>
          <w:rFonts w:hint="eastAsia"/>
          <w:lang w:val="en-US" w:eastAsia="zh-CN"/>
        </w:rPr>
        <w:t>风险处置单如下图：</w:t>
      </w:r>
    </w:p>
    <w:tbl>
      <w:tblPr>
        <w:tblStyle w:val="20"/>
        <w:tblW w:w="0" w:type="auto"/>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1"/>
        <w:gridCol w:w="2181"/>
        <w:gridCol w:w="2065"/>
        <w:gridCol w:w="2373"/>
      </w:tblGrid>
      <w:tr w14:paraId="18811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640" w:type="dxa"/>
            <w:gridSpan w:val="4"/>
            <w:tcBorders>
              <w:top w:val="single" w:color="auto" w:sz="4" w:space="0"/>
              <w:left w:val="single" w:color="auto" w:sz="4" w:space="0"/>
              <w:bottom w:val="single" w:color="auto" w:sz="4" w:space="0"/>
              <w:right w:val="single" w:color="auto" w:sz="4" w:space="0"/>
            </w:tcBorders>
            <w:vAlign w:val="center"/>
          </w:tcPr>
          <w:p w14:paraId="70DEEE14">
            <w:pPr>
              <w:pStyle w:val="29"/>
              <w:bidi w:val="0"/>
            </w:pPr>
            <w:r>
              <w:rPr>
                <w:rFonts w:hint="eastAsia"/>
              </w:rPr>
              <w:t>风险处置单</w:t>
            </w:r>
          </w:p>
        </w:tc>
      </w:tr>
      <w:tr w14:paraId="70F81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tcBorders>
              <w:top w:val="nil"/>
              <w:left w:val="single" w:color="auto" w:sz="4" w:space="0"/>
              <w:bottom w:val="single" w:color="auto" w:sz="4" w:space="0"/>
              <w:right w:val="single" w:color="auto" w:sz="4" w:space="0"/>
            </w:tcBorders>
            <w:vAlign w:val="center"/>
          </w:tcPr>
          <w:p w14:paraId="04182529">
            <w:pPr>
              <w:pStyle w:val="29"/>
              <w:bidi w:val="0"/>
            </w:pPr>
            <w:r>
              <w:rPr>
                <w:rFonts w:hint="eastAsia"/>
              </w:rPr>
              <w:t>资产名称</w:t>
            </w:r>
          </w:p>
        </w:tc>
        <w:tc>
          <w:tcPr>
            <w:tcW w:w="2181" w:type="dxa"/>
            <w:tcBorders>
              <w:top w:val="nil"/>
              <w:left w:val="nil"/>
              <w:bottom w:val="single" w:color="auto" w:sz="4" w:space="0"/>
              <w:right w:val="single" w:color="auto" w:sz="4" w:space="0"/>
            </w:tcBorders>
            <w:vAlign w:val="center"/>
          </w:tcPr>
          <w:p w14:paraId="5C325645">
            <w:pPr>
              <w:pStyle w:val="29"/>
              <w:bidi w:val="0"/>
            </w:pPr>
            <w:r>
              <w:t>xx防火墙</w:t>
            </w:r>
          </w:p>
        </w:tc>
        <w:tc>
          <w:tcPr>
            <w:tcW w:w="2065" w:type="dxa"/>
            <w:tcBorders>
              <w:top w:val="nil"/>
              <w:left w:val="nil"/>
              <w:bottom w:val="single" w:color="auto" w:sz="4" w:space="0"/>
              <w:right w:val="single" w:color="auto" w:sz="4" w:space="0"/>
            </w:tcBorders>
            <w:vAlign w:val="center"/>
          </w:tcPr>
          <w:p w14:paraId="079CB310">
            <w:pPr>
              <w:pStyle w:val="29"/>
              <w:bidi w:val="0"/>
            </w:pPr>
            <w:r>
              <w:rPr>
                <w:rFonts w:hint="eastAsia"/>
              </w:rPr>
              <w:t>所属项目</w:t>
            </w:r>
          </w:p>
        </w:tc>
        <w:tc>
          <w:tcPr>
            <w:tcW w:w="2373" w:type="dxa"/>
            <w:tcBorders>
              <w:top w:val="nil"/>
              <w:left w:val="nil"/>
              <w:bottom w:val="single" w:color="auto" w:sz="4" w:space="0"/>
              <w:right w:val="single" w:color="auto" w:sz="4" w:space="0"/>
            </w:tcBorders>
            <w:vAlign w:val="center"/>
          </w:tcPr>
          <w:p w14:paraId="20498094">
            <w:pPr>
              <w:pStyle w:val="29"/>
              <w:bidi w:val="0"/>
            </w:pPr>
            <w:r>
              <w:rPr>
                <w:rFonts w:hint="eastAsia"/>
              </w:rPr>
              <w:t>运维系统</w:t>
            </w:r>
          </w:p>
        </w:tc>
      </w:tr>
      <w:tr w14:paraId="01CD2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restart"/>
            <w:tcBorders>
              <w:top w:val="nil"/>
              <w:left w:val="single" w:color="auto" w:sz="4" w:space="0"/>
              <w:bottom w:val="single" w:color="auto" w:sz="4" w:space="0"/>
              <w:right w:val="single" w:color="auto" w:sz="4" w:space="0"/>
            </w:tcBorders>
            <w:vAlign w:val="center"/>
          </w:tcPr>
          <w:p w14:paraId="3AA05AF1">
            <w:pPr>
              <w:pStyle w:val="29"/>
              <w:bidi w:val="0"/>
            </w:pPr>
            <w:r>
              <w:rPr>
                <w:rFonts w:hint="eastAsia"/>
              </w:rPr>
              <w:t>风险描述</w:t>
            </w:r>
          </w:p>
        </w:tc>
        <w:tc>
          <w:tcPr>
            <w:tcW w:w="2181" w:type="dxa"/>
            <w:tcBorders>
              <w:top w:val="nil"/>
              <w:left w:val="nil"/>
              <w:bottom w:val="single" w:color="auto" w:sz="4" w:space="0"/>
              <w:right w:val="single" w:color="auto" w:sz="4" w:space="0"/>
            </w:tcBorders>
            <w:vAlign w:val="center"/>
          </w:tcPr>
          <w:p w14:paraId="0A9CE2ED">
            <w:pPr>
              <w:pStyle w:val="29"/>
              <w:bidi w:val="0"/>
            </w:pPr>
            <w:r>
              <w:rPr>
                <w:rFonts w:hint="eastAsia"/>
              </w:rPr>
              <w:t>风险来源</w:t>
            </w:r>
          </w:p>
        </w:tc>
        <w:tc>
          <w:tcPr>
            <w:tcW w:w="4438" w:type="dxa"/>
            <w:gridSpan w:val="2"/>
            <w:tcBorders>
              <w:top w:val="single" w:color="auto" w:sz="4" w:space="0"/>
              <w:left w:val="nil"/>
              <w:bottom w:val="single" w:color="auto" w:sz="4" w:space="0"/>
              <w:right w:val="single" w:color="auto" w:sz="4" w:space="0"/>
            </w:tcBorders>
            <w:vAlign w:val="center"/>
          </w:tcPr>
          <w:p w14:paraId="35B26629">
            <w:pPr>
              <w:pStyle w:val="29"/>
              <w:bidi w:val="0"/>
            </w:pPr>
            <w:r>
              <w:rPr>
                <w:rFonts w:hint="eastAsia"/>
              </w:rPr>
              <w:t>风险评估扫描</w:t>
            </w:r>
          </w:p>
        </w:tc>
      </w:tr>
      <w:tr w14:paraId="7C7F2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1CA0B6BC">
            <w:pPr>
              <w:pStyle w:val="29"/>
              <w:bidi w:val="0"/>
            </w:pPr>
          </w:p>
        </w:tc>
        <w:tc>
          <w:tcPr>
            <w:tcW w:w="2181" w:type="dxa"/>
            <w:tcBorders>
              <w:top w:val="nil"/>
              <w:left w:val="nil"/>
              <w:bottom w:val="single" w:color="auto" w:sz="4" w:space="0"/>
              <w:right w:val="single" w:color="auto" w:sz="4" w:space="0"/>
            </w:tcBorders>
            <w:vAlign w:val="center"/>
          </w:tcPr>
          <w:p w14:paraId="263485C1">
            <w:pPr>
              <w:pStyle w:val="29"/>
              <w:bidi w:val="0"/>
            </w:pPr>
            <w:r>
              <w:rPr>
                <w:rFonts w:hint="eastAsia"/>
              </w:rPr>
              <w:t>风险等级</w:t>
            </w:r>
          </w:p>
        </w:tc>
        <w:tc>
          <w:tcPr>
            <w:tcW w:w="4438" w:type="dxa"/>
            <w:gridSpan w:val="2"/>
            <w:tcBorders>
              <w:top w:val="single" w:color="auto" w:sz="4" w:space="0"/>
              <w:left w:val="nil"/>
              <w:bottom w:val="single" w:color="auto" w:sz="4" w:space="0"/>
              <w:right w:val="single" w:color="auto" w:sz="4" w:space="0"/>
            </w:tcBorders>
            <w:vAlign w:val="center"/>
          </w:tcPr>
          <w:p w14:paraId="16E3479F">
            <w:pPr>
              <w:pStyle w:val="29"/>
              <w:bidi w:val="0"/>
            </w:pPr>
            <w:r>
              <w:t>3级（中风险）</w:t>
            </w:r>
          </w:p>
        </w:tc>
      </w:tr>
      <w:tr w14:paraId="42440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12D40334">
            <w:pPr>
              <w:pStyle w:val="29"/>
              <w:bidi w:val="0"/>
            </w:pPr>
          </w:p>
        </w:tc>
        <w:tc>
          <w:tcPr>
            <w:tcW w:w="2181" w:type="dxa"/>
            <w:tcBorders>
              <w:top w:val="nil"/>
              <w:left w:val="nil"/>
              <w:bottom w:val="single" w:color="auto" w:sz="4" w:space="0"/>
              <w:right w:val="single" w:color="auto" w:sz="4" w:space="0"/>
            </w:tcBorders>
            <w:vAlign w:val="center"/>
          </w:tcPr>
          <w:p w14:paraId="7064F2B9">
            <w:pPr>
              <w:pStyle w:val="29"/>
              <w:bidi w:val="0"/>
            </w:pPr>
            <w:r>
              <w:rPr>
                <w:rFonts w:hint="eastAsia"/>
              </w:rPr>
              <w:t>风险威胁</w:t>
            </w:r>
          </w:p>
        </w:tc>
        <w:tc>
          <w:tcPr>
            <w:tcW w:w="4438" w:type="dxa"/>
            <w:gridSpan w:val="2"/>
            <w:tcBorders>
              <w:top w:val="single" w:color="auto" w:sz="4" w:space="0"/>
              <w:left w:val="nil"/>
              <w:bottom w:val="single" w:color="auto" w:sz="4" w:space="0"/>
              <w:right w:val="single" w:color="auto" w:sz="4" w:space="0"/>
            </w:tcBorders>
            <w:vAlign w:val="center"/>
          </w:tcPr>
          <w:p w14:paraId="4F9AB32F">
            <w:pPr>
              <w:pStyle w:val="29"/>
              <w:bidi w:val="0"/>
            </w:pPr>
            <w:r>
              <w:t>TC01软硬件故障</w:t>
            </w:r>
          </w:p>
        </w:tc>
      </w:tr>
      <w:tr w14:paraId="4B61D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0F66E4E5">
            <w:pPr>
              <w:pStyle w:val="29"/>
              <w:bidi w:val="0"/>
            </w:pPr>
          </w:p>
        </w:tc>
        <w:tc>
          <w:tcPr>
            <w:tcW w:w="2181" w:type="dxa"/>
            <w:tcBorders>
              <w:top w:val="nil"/>
              <w:left w:val="nil"/>
              <w:bottom w:val="single" w:color="auto" w:sz="4" w:space="0"/>
              <w:right w:val="single" w:color="auto" w:sz="4" w:space="0"/>
            </w:tcBorders>
            <w:vAlign w:val="center"/>
          </w:tcPr>
          <w:p w14:paraId="4876E6A2">
            <w:pPr>
              <w:pStyle w:val="29"/>
              <w:bidi w:val="0"/>
            </w:pPr>
            <w:r>
              <w:rPr>
                <w:rFonts w:hint="eastAsia"/>
              </w:rPr>
              <w:t>脆弱性</w:t>
            </w:r>
          </w:p>
        </w:tc>
        <w:tc>
          <w:tcPr>
            <w:tcW w:w="4438" w:type="dxa"/>
            <w:gridSpan w:val="2"/>
            <w:tcBorders>
              <w:top w:val="single" w:color="auto" w:sz="4" w:space="0"/>
              <w:left w:val="nil"/>
              <w:bottom w:val="single" w:color="auto" w:sz="4" w:space="0"/>
              <w:right w:val="single" w:color="auto" w:sz="4" w:space="0"/>
            </w:tcBorders>
            <w:vAlign w:val="center"/>
          </w:tcPr>
          <w:p w14:paraId="1F920A07">
            <w:pPr>
              <w:pStyle w:val="29"/>
              <w:bidi w:val="0"/>
            </w:pPr>
            <w:r>
              <w:t>VM08存在单点故障</w:t>
            </w:r>
          </w:p>
        </w:tc>
      </w:tr>
      <w:tr w14:paraId="7BE55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9" w:hRule="atLeast"/>
        </w:trPr>
        <w:tc>
          <w:tcPr>
            <w:tcW w:w="3021" w:type="dxa"/>
            <w:tcBorders>
              <w:top w:val="nil"/>
              <w:left w:val="single" w:color="auto" w:sz="4" w:space="0"/>
              <w:bottom w:val="single" w:color="auto" w:sz="4" w:space="0"/>
              <w:right w:val="single" w:color="auto" w:sz="4" w:space="0"/>
            </w:tcBorders>
            <w:vAlign w:val="center"/>
          </w:tcPr>
          <w:p w14:paraId="62F2927F">
            <w:pPr>
              <w:pStyle w:val="29"/>
              <w:bidi w:val="0"/>
            </w:pPr>
            <w:r>
              <w:rPr>
                <w:rFonts w:hint="eastAsia"/>
              </w:rPr>
              <w:t>建议处置措施</w:t>
            </w:r>
          </w:p>
        </w:tc>
        <w:tc>
          <w:tcPr>
            <w:tcW w:w="6619" w:type="dxa"/>
            <w:gridSpan w:val="3"/>
            <w:tcBorders>
              <w:top w:val="single" w:color="auto" w:sz="4" w:space="0"/>
              <w:left w:val="nil"/>
              <w:bottom w:val="single" w:color="auto" w:sz="4" w:space="0"/>
              <w:right w:val="single" w:color="auto" w:sz="4" w:space="0"/>
            </w:tcBorders>
            <w:vAlign w:val="center"/>
          </w:tcPr>
          <w:p w14:paraId="56B5D448">
            <w:pPr>
              <w:pStyle w:val="29"/>
              <w:bidi w:val="0"/>
            </w:pPr>
            <w:r>
              <w:rPr>
                <w:rFonts w:hint="eastAsia"/>
              </w:rPr>
              <w:t>作为运维网和生产网之间的边界安全设备，没有冗余设备，存在单点故障风险。出现故障时会影响到</w:t>
            </w:r>
            <w:r>
              <w:t>XXX系统的正常使用。建议采购一台XXX防火墙替换现有的XXX防火墙，用原有的防火墙</w:t>
            </w:r>
            <w:r>
              <w:rPr>
                <w:rFonts w:hint="eastAsia"/>
              </w:rPr>
              <w:t>作为热备设备。</w:t>
            </w:r>
          </w:p>
        </w:tc>
      </w:tr>
      <w:tr w14:paraId="68CB4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vAlign w:val="center"/>
          </w:tcPr>
          <w:p w14:paraId="5FBEEF03">
            <w:pPr>
              <w:pStyle w:val="29"/>
              <w:bidi w:val="0"/>
            </w:pPr>
            <w:r>
              <w:rPr>
                <w:rFonts w:hint="eastAsia"/>
              </w:rPr>
              <w:t>处置结果确认</w:t>
            </w:r>
          </w:p>
        </w:tc>
        <w:tc>
          <w:tcPr>
            <w:tcW w:w="6619" w:type="dxa"/>
            <w:gridSpan w:val="3"/>
            <w:tcBorders>
              <w:top w:val="single" w:color="auto" w:sz="4" w:space="0"/>
              <w:left w:val="nil"/>
              <w:bottom w:val="single" w:color="auto" w:sz="4" w:space="0"/>
              <w:right w:val="single" w:color="auto" w:sz="4" w:space="0"/>
            </w:tcBorders>
            <w:vAlign w:val="center"/>
          </w:tcPr>
          <w:p w14:paraId="37B36CD6">
            <w:pPr>
              <w:pStyle w:val="29"/>
              <w:bidi w:val="0"/>
              <w:ind w:left="0" w:leftChars="0" w:firstLine="0" w:firstLineChars="0"/>
            </w:pPr>
            <w:r>
              <w:rPr>
                <w:rFonts w:hint="eastAsia"/>
              </w:rPr>
              <w:t>签字：</w:t>
            </w:r>
            <w:r>
              <w:br w:type="textWrapping"/>
            </w:r>
            <w:r>
              <w:rPr>
                <w:rFonts w:hint="eastAsia"/>
              </w:rPr>
              <w:t>日期：</w:t>
            </w:r>
          </w:p>
        </w:tc>
      </w:tr>
      <w:tr w14:paraId="2D7C8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vAlign w:val="center"/>
          </w:tcPr>
          <w:p w14:paraId="5E0FD249">
            <w:pPr>
              <w:pStyle w:val="29"/>
              <w:bidi w:val="0"/>
            </w:pPr>
            <w:r>
              <w:rPr>
                <w:rFonts w:hint="eastAsia"/>
              </w:rPr>
              <w:t>客户方确认意见</w:t>
            </w:r>
          </w:p>
        </w:tc>
        <w:tc>
          <w:tcPr>
            <w:tcW w:w="6619" w:type="dxa"/>
            <w:gridSpan w:val="3"/>
            <w:tcBorders>
              <w:top w:val="single" w:color="auto" w:sz="4" w:space="0"/>
              <w:left w:val="nil"/>
              <w:bottom w:val="single" w:color="auto" w:sz="4" w:space="0"/>
              <w:right w:val="single" w:color="auto" w:sz="4" w:space="0"/>
            </w:tcBorders>
            <w:vAlign w:val="center"/>
          </w:tcPr>
          <w:p w14:paraId="48DC9D01">
            <w:pPr>
              <w:pStyle w:val="29"/>
              <w:bidi w:val="0"/>
              <w:ind w:left="0" w:leftChars="0" w:firstLine="0" w:firstLineChars="0"/>
            </w:pPr>
            <w:r>
              <w:rPr>
                <w:rFonts w:hint="eastAsia"/>
              </w:rPr>
              <w:t>签字：</w:t>
            </w:r>
            <w:r>
              <w:br w:type="textWrapping"/>
            </w:r>
            <w:r>
              <w:rPr>
                <w:rFonts w:hint="eastAsia"/>
              </w:rPr>
              <w:t>日期：</w:t>
            </w:r>
          </w:p>
        </w:tc>
      </w:tr>
    </w:tbl>
    <w:p w14:paraId="4224B249">
      <w:pPr>
        <w:pStyle w:val="31"/>
        <w:bidi w:val="0"/>
      </w:pPr>
      <w:bookmarkStart w:id="32" w:name="_Toc455763771"/>
      <w:bookmarkStart w:id="33" w:name="_Toc3090"/>
      <w:r>
        <w:rPr>
          <w:rFonts w:hint="eastAsia"/>
        </w:rPr>
        <w:t>风险处置</w:t>
      </w:r>
      <w:bookmarkEnd w:id="32"/>
      <w:bookmarkEnd w:id="33"/>
    </w:p>
    <w:p w14:paraId="65BCB2EB">
      <w:pPr>
        <w:pStyle w:val="29"/>
      </w:pPr>
      <w:r>
        <w:rPr>
          <w:rFonts w:hint="eastAsia"/>
        </w:rPr>
        <w:t>对于评估结果超出可接受风险水平基准的风险，必须启动风险处置流程。根据评估结论开立《风险处置单》，明确责任人与完成时限，调配资源执行处置措施（如降低、转移、规避或接受风险），以确保残余风险降至组织可接受的范围之内。</w:t>
      </w:r>
    </w:p>
    <w:p w14:paraId="5A052A49">
      <w:pPr>
        <w:pStyle w:val="31"/>
        <w:bidi w:val="0"/>
      </w:pPr>
      <w:bookmarkStart w:id="34" w:name="_Toc455763772"/>
      <w:bookmarkStart w:id="35" w:name="_Toc5052"/>
      <w:r>
        <w:rPr>
          <w:rFonts w:hint="eastAsia"/>
        </w:rPr>
        <w:t>定期评估</w:t>
      </w:r>
      <w:bookmarkEnd w:id="34"/>
      <w:bookmarkEnd w:id="35"/>
    </w:p>
    <w:p w14:paraId="397BC1E3">
      <w:pPr>
        <w:pStyle w:val="29"/>
        <w:bidi w:val="0"/>
      </w:pPr>
      <w:r>
        <w:t>每年</w:t>
      </w:r>
      <w:r>
        <w:rPr>
          <w:rFonts w:hint="eastAsia"/>
          <w:lang w:val="en-US" w:eastAsia="zh-CN"/>
        </w:rPr>
        <w:t>度</w:t>
      </w:r>
      <w:r>
        <w:t>至少一次全面审查风险评估内容与状态的适应性，以确定是否存在新的风险及是否需要增加新的控制措施，对发生以下情况需及时进行风险评估：</w:t>
      </w:r>
    </w:p>
    <w:p w14:paraId="3B8B86EB">
      <w:pPr>
        <w:pStyle w:val="29"/>
        <w:bidi w:val="0"/>
      </w:pPr>
      <w:r>
        <w:t>当发生重大信息安全事故时；</w:t>
      </w:r>
    </w:p>
    <w:p w14:paraId="5001C15E">
      <w:pPr>
        <w:pStyle w:val="29"/>
        <w:bidi w:val="0"/>
      </w:pPr>
      <w:r>
        <w:t>当信息网络系统发生重大变更时；</w:t>
      </w:r>
    </w:p>
    <w:p w14:paraId="3B4BFF20">
      <w:pPr>
        <w:pStyle w:val="29"/>
        <w:bidi w:val="0"/>
      </w:pPr>
      <w:r>
        <w:t>当新增加服务/资产项时；</w:t>
      </w:r>
    </w:p>
    <w:p w14:paraId="686F3F89">
      <w:pPr>
        <w:pStyle w:val="29"/>
        <w:bidi w:val="0"/>
      </w:pPr>
      <w:r>
        <w:t>IT服务委员会确定有必要时。</w:t>
      </w:r>
    </w:p>
    <w:p w14:paraId="506948D8">
      <w:pPr>
        <w:pStyle w:val="31"/>
        <w:bidi w:val="0"/>
        <w:rPr>
          <w:rFonts w:hint="default"/>
          <w:lang w:val="en-US" w:eastAsia="zh-CN"/>
        </w:rPr>
      </w:pPr>
      <w:bookmarkStart w:id="36" w:name="_Toc14275"/>
      <w:r>
        <w:rPr>
          <w:rFonts w:hint="eastAsia"/>
          <w:lang w:val="en-US" w:eastAsia="zh-CN"/>
        </w:rPr>
        <w:t>信息安全培训</w:t>
      </w:r>
      <w:bookmarkEnd w:id="36"/>
    </w:p>
    <w:p w14:paraId="66208BB2">
      <w:pPr>
        <w:pStyle w:val="29"/>
        <w:bidi w:val="0"/>
        <w:rPr>
          <w:rFonts w:hint="default"/>
        </w:rPr>
      </w:pPr>
      <w:r>
        <w:t>运维相关部门须</w:t>
      </w:r>
      <w:r>
        <w:rPr>
          <w:rFonts w:hint="default"/>
        </w:rPr>
        <w:t>定期评估项目运维的实际需求与知识缺口，并据此系统性地规划并实施相关培训。</w:t>
      </w:r>
    </w:p>
    <w:p w14:paraId="4D19B930">
      <w:pPr>
        <w:rPr>
          <w:rFonts w:hint="default"/>
        </w:rPr>
      </w:pPr>
      <w:r>
        <w:rPr>
          <w:rFonts w:hint="default"/>
        </w:rPr>
        <w:br w:type="page"/>
      </w:r>
    </w:p>
    <w:p w14:paraId="5AD5D424">
      <w:pPr>
        <w:pStyle w:val="30"/>
        <w:bidi w:val="0"/>
      </w:pPr>
      <w:bookmarkStart w:id="37" w:name="_Toc5583"/>
      <w:r>
        <w:t>考核指标</w:t>
      </w:r>
      <w:bookmarkEnd w:id="26"/>
      <w:bookmarkEnd w:id="3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3653"/>
        <w:gridCol w:w="1132"/>
        <w:gridCol w:w="1571"/>
      </w:tblGrid>
      <w:tr w14:paraId="4984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1B3E47CC">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指标度量性</w:t>
            </w:r>
          </w:p>
        </w:tc>
        <w:tc>
          <w:tcPr>
            <w:tcW w:w="3653" w:type="dxa"/>
          </w:tcPr>
          <w:p w14:paraId="65258D14">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1132" w:type="dxa"/>
          </w:tcPr>
          <w:p w14:paraId="6FFCDBFA">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频次</w:t>
            </w:r>
          </w:p>
        </w:tc>
        <w:tc>
          <w:tcPr>
            <w:tcW w:w="1571" w:type="dxa"/>
          </w:tcPr>
          <w:p w14:paraId="0C0FA5EC">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指标要求</w:t>
            </w:r>
          </w:p>
        </w:tc>
      </w:tr>
      <w:tr w14:paraId="08B6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166" w:type="dxa"/>
            <w:shd w:val="clear" w:color="auto" w:fill="auto"/>
          </w:tcPr>
          <w:p w14:paraId="3F185530">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客户信息泄露次数</w:t>
            </w:r>
          </w:p>
        </w:tc>
        <w:tc>
          <w:tcPr>
            <w:tcW w:w="3653" w:type="dxa"/>
            <w:shd w:val="clear" w:color="auto" w:fill="auto"/>
          </w:tcPr>
          <w:p w14:paraId="5A72EFD2">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服务过程中不得发生客户信息泄露</w:t>
            </w:r>
          </w:p>
        </w:tc>
        <w:tc>
          <w:tcPr>
            <w:tcW w:w="1132" w:type="dxa"/>
            <w:shd w:val="clear" w:color="auto" w:fill="auto"/>
          </w:tcPr>
          <w:p w14:paraId="1311336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c>
          <w:tcPr>
            <w:tcW w:w="1571" w:type="dxa"/>
            <w:shd w:val="clear" w:color="auto" w:fill="auto"/>
          </w:tcPr>
          <w:p w14:paraId="237AEE2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r w14:paraId="6FB0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2166" w:type="dxa"/>
            <w:shd w:val="clear" w:color="auto" w:fill="auto"/>
          </w:tcPr>
          <w:p w14:paraId="5885D355">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信息安全事件客户投诉</w:t>
            </w:r>
          </w:p>
        </w:tc>
        <w:tc>
          <w:tcPr>
            <w:tcW w:w="3653" w:type="dxa"/>
            <w:shd w:val="clear" w:color="auto" w:fill="auto"/>
          </w:tcPr>
          <w:p w14:paraId="094BD33E">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服务过程中不得发生信息安全事件客户投诉</w:t>
            </w:r>
          </w:p>
        </w:tc>
        <w:tc>
          <w:tcPr>
            <w:tcW w:w="1132" w:type="dxa"/>
            <w:shd w:val="clear" w:color="auto" w:fill="auto"/>
          </w:tcPr>
          <w:p w14:paraId="6003B5B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bookmarkStart w:id="45" w:name="_GoBack"/>
            <w:bookmarkEnd w:id="45"/>
          </w:p>
        </w:tc>
        <w:tc>
          <w:tcPr>
            <w:tcW w:w="0" w:type="auto"/>
            <w:shd w:val="clear" w:color="auto" w:fill="auto"/>
          </w:tcPr>
          <w:p w14:paraId="11DA5600">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bl>
    <w:p w14:paraId="63B9E8BE">
      <w:pPr>
        <w:pStyle w:val="28"/>
        <w:bidi w:val="0"/>
        <w:rPr>
          <w:rStyle w:val="38"/>
          <w:rFonts w:hint="default" w:eastAsia="宋体"/>
          <w:lang w:val="en-US" w:eastAsia="zh-CN"/>
        </w:rPr>
      </w:pPr>
      <w:bookmarkStart w:id="38" w:name="bookmark3"/>
      <w:bookmarkEnd w:id="38"/>
      <w:bookmarkStart w:id="39" w:name="_Toc27576"/>
      <w:bookmarkStart w:id="40" w:name="_Toc17424"/>
      <w:bookmarkStart w:id="41" w:name="_Toc5809"/>
      <w:r>
        <w:rPr>
          <w:rStyle w:val="38"/>
          <w:rFonts w:hint="eastAsia" w:eastAsia="宋体"/>
          <w:lang w:val="en-US" w:eastAsia="zh-CN"/>
        </w:rPr>
        <w:t>附则</w:t>
      </w:r>
      <w:bookmarkEnd w:id="39"/>
      <w:bookmarkEnd w:id="40"/>
      <w:bookmarkEnd w:id="41"/>
    </w:p>
    <w:p w14:paraId="6420FCCD">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29D025CD">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A7CBB1A">
      <w:pPr>
        <w:pStyle w:val="28"/>
        <w:bidi w:val="0"/>
        <w:rPr>
          <w:rFonts w:hint="default"/>
          <w:lang w:val="en-US" w:eastAsia="zh-CN"/>
        </w:rPr>
      </w:pPr>
      <w:bookmarkStart w:id="42" w:name="bookmark14"/>
      <w:bookmarkEnd w:id="42"/>
      <w:bookmarkStart w:id="43" w:name="_Toc28291"/>
      <w:r>
        <w:rPr>
          <w:rFonts w:hint="eastAsia"/>
          <w:lang w:val="en-US" w:eastAsia="zh-CN"/>
        </w:rPr>
        <w:t>附件</w:t>
      </w:r>
      <w:bookmarkEnd w:id="43"/>
    </w:p>
    <w:p w14:paraId="5E99A410">
      <w:pPr>
        <w:pStyle w:val="39"/>
        <w:bidi w:val="0"/>
      </w:pPr>
      <w:r>
        <w:t>《服务报告管理</w:t>
      </w:r>
      <w:r>
        <w:rPr>
          <w:rFonts w:hint="eastAsia"/>
          <w:lang w:val="en-US" w:eastAsia="zh-CN"/>
        </w:rPr>
        <w:t>制度</w:t>
      </w:r>
      <w:r>
        <w:t>》</w:t>
      </w:r>
    </w:p>
    <w:p w14:paraId="4621FB63">
      <w:pPr>
        <w:pStyle w:val="39"/>
        <w:bidi w:val="0"/>
      </w:pPr>
      <w:r>
        <w:t>《事件管理</w:t>
      </w:r>
      <w:r>
        <w:rPr>
          <w:rFonts w:hint="eastAsia"/>
          <w:lang w:val="en-US" w:eastAsia="zh-CN"/>
        </w:rPr>
        <w:t>制度</w:t>
      </w:r>
      <w:r>
        <w:t>》</w:t>
      </w:r>
    </w:p>
    <w:p w14:paraId="78F796B5">
      <w:pPr>
        <w:pStyle w:val="39"/>
        <w:bidi w:val="0"/>
      </w:pPr>
      <w:r>
        <w:t>《变更管理</w:t>
      </w:r>
      <w:r>
        <w:rPr>
          <w:rFonts w:hint="eastAsia"/>
          <w:lang w:val="en-US" w:eastAsia="zh-CN"/>
        </w:rPr>
        <w:t>制度</w:t>
      </w:r>
      <w:r>
        <w:t>》</w:t>
      </w:r>
    </w:p>
    <w:p w14:paraId="7D9E6359">
      <w:pPr>
        <w:pStyle w:val="28"/>
        <w:bidi w:val="0"/>
        <w:rPr>
          <w:rFonts w:hint="eastAsia"/>
          <w:lang w:val="en-US" w:eastAsia="zh-CN"/>
        </w:rPr>
      </w:pPr>
      <w:bookmarkStart w:id="44" w:name="_Toc6779"/>
      <w:r>
        <w:rPr>
          <w:rFonts w:hint="eastAsia"/>
          <w:lang w:val="en-US" w:eastAsia="zh-CN"/>
        </w:rPr>
        <w:t>记录</w:t>
      </w:r>
      <w:bookmarkEnd w:id="44"/>
    </w:p>
    <w:p w14:paraId="37916051">
      <w:pPr>
        <w:pStyle w:val="39"/>
        <w:bidi w:val="0"/>
      </w:pPr>
      <w:r>
        <w:t>《风险评估报告》</w:t>
      </w:r>
    </w:p>
    <w:p w14:paraId="70353DD7">
      <w:pPr>
        <w:pStyle w:val="39"/>
        <w:bidi w:val="0"/>
      </w:pPr>
      <w:r>
        <w:t>《信息安全服务报告》</w:t>
      </w:r>
    </w:p>
    <w:p w14:paraId="066BD010">
      <w:pPr>
        <w:pStyle w:val="39"/>
        <w:bidi w:val="0"/>
      </w:pPr>
      <w:r>
        <w:t>《信息安全管理</w:t>
      </w:r>
      <w:r>
        <w:rPr>
          <w:rFonts w:hint="eastAsia"/>
          <w:lang w:val="en-US" w:eastAsia="zh-CN"/>
        </w:rPr>
        <w:t>制度</w:t>
      </w:r>
      <w:r>
        <w:t>》</w:t>
      </w:r>
    </w:p>
    <w:p w14:paraId="19D53CD5">
      <w:pPr>
        <w:pStyle w:val="29"/>
        <w:rPr>
          <w:rFonts w:hint="eastAsia"/>
          <w:lang w:val="en-US" w:eastAsia="zh-CN"/>
        </w:rPr>
      </w:pP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3365F">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D5CC9">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88012B1"/>
    <w:multiLevelType w:val="singleLevel"/>
    <w:tmpl w:val="088012B1"/>
    <w:lvl w:ilvl="0" w:tentative="0">
      <w:start w:val="1"/>
      <w:numFmt w:val="decimal"/>
      <w:lvlText w:val="%1."/>
      <w:lvlJc w:val="left"/>
      <w:pPr>
        <w:ind w:left="425" w:hanging="425"/>
      </w:pPr>
      <w:rPr>
        <w:rFonts w:hint="default"/>
      </w:rPr>
    </w:lvl>
  </w:abstractNum>
  <w:abstractNum w:abstractNumId="3">
    <w:nsid w:val="2AF1B93E"/>
    <w:multiLevelType w:val="singleLevel"/>
    <w:tmpl w:val="2AF1B93E"/>
    <w:lvl w:ilvl="0" w:tentative="0">
      <w:start w:val="1"/>
      <w:numFmt w:val="decimal"/>
      <w:lvlText w:val="(%1)"/>
      <w:lvlJc w:val="left"/>
      <w:pPr>
        <w:tabs>
          <w:tab w:val="left" w:pos="420"/>
        </w:tabs>
        <w:ind w:left="845" w:hanging="425"/>
      </w:pPr>
      <w:rPr>
        <w:rFonts w:hint="default"/>
      </w:rPr>
    </w:lvl>
  </w:abstractNum>
  <w:abstractNum w:abstractNumId="4">
    <w:nsid w:val="40CFADA9"/>
    <w:multiLevelType w:val="singleLevel"/>
    <w:tmpl w:val="40CFADA9"/>
    <w:lvl w:ilvl="0" w:tentative="0">
      <w:start w:val="1"/>
      <w:numFmt w:val="decimal"/>
      <w:lvlText w:val="%1."/>
      <w:lvlJc w:val="left"/>
      <w:pPr>
        <w:ind w:left="425" w:hanging="425"/>
      </w:pPr>
      <w:rPr>
        <w:rFonts w:hint="default"/>
      </w:rPr>
    </w:lvl>
  </w:abstractNum>
  <w:abstractNum w:abstractNumId="5">
    <w:nsid w:val="41AA82C7"/>
    <w:multiLevelType w:val="singleLevel"/>
    <w:tmpl w:val="41AA82C7"/>
    <w:lvl w:ilvl="0" w:tentative="0">
      <w:start w:val="1"/>
      <w:numFmt w:val="decimal"/>
      <w:lvlText w:val="%1."/>
      <w:lvlJc w:val="left"/>
      <w:pPr>
        <w:ind w:left="425" w:hanging="425"/>
      </w:pPr>
      <w:rPr>
        <w:rFonts w:hint="default"/>
      </w:rPr>
    </w:lvl>
  </w:abstractNum>
  <w:abstractNum w:abstractNumId="6">
    <w:nsid w:val="605EA310"/>
    <w:multiLevelType w:val="singleLevel"/>
    <w:tmpl w:val="605EA310"/>
    <w:lvl w:ilvl="0" w:tentative="0">
      <w:start w:val="1"/>
      <w:numFmt w:val="decimal"/>
      <w:lvlText w:val="%1."/>
      <w:lvlJc w:val="left"/>
      <w:pPr>
        <w:ind w:left="425" w:hanging="425"/>
      </w:pPr>
      <w:rPr>
        <w:rFonts w:hint="default"/>
      </w:rPr>
    </w:lvl>
  </w:abstractNum>
  <w:abstractNum w:abstractNumId="7">
    <w:nsid w:val="656D9973"/>
    <w:multiLevelType w:val="singleLevel"/>
    <w:tmpl w:val="656D9973"/>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5"/>
  </w:num>
  <w:num w:numId="5">
    <w:abstractNumId w:val="3"/>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207F97"/>
    <w:rsid w:val="0B2D5591"/>
    <w:rsid w:val="0DC21F49"/>
    <w:rsid w:val="1C3F3041"/>
    <w:rsid w:val="1E843AA2"/>
    <w:rsid w:val="215F7D83"/>
    <w:rsid w:val="29A029DC"/>
    <w:rsid w:val="325A6A70"/>
    <w:rsid w:val="46853538"/>
    <w:rsid w:val="47E86474"/>
    <w:rsid w:val="4BE96317"/>
    <w:rsid w:val="4EF94AC3"/>
    <w:rsid w:val="59232E69"/>
    <w:rsid w:val="681B7EC8"/>
    <w:rsid w:val="6E0F17B6"/>
    <w:rsid w:val="6FB10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2"/>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2 Char"/>
    <w:link w:val="30"/>
    <w:qFormat/>
    <w:uiPriority w:val="0"/>
    <w:rPr>
      <w:rFonts w:ascii="Arial" w:hAnsi="Arial" w:eastAsia="宋体"/>
      <w:sz w:val="28"/>
    </w:rPr>
  </w:style>
  <w:style w:type="paragraph" w:customStyle="1" w:styleId="4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3433</Words>
  <Characters>3632</Characters>
  <Lines>0</Lines>
  <Paragraphs>0</Paragraphs>
  <TotalTime>14</TotalTime>
  <ScaleCrop>false</ScaleCrop>
  <LinksUpToDate>false</LinksUpToDate>
  <CharactersWithSpaces>3747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2026-03-09T21:38:35Z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