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DFAEDF">
      <w:pPr>
        <w:spacing w:before="78" w:line="219" w:lineRule="auto"/>
        <w:ind w:left="25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  <w:lang w:eastAsia="zh-CN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eastAsia="zh-CN"/>
        </w:rPr>
        <w:t>2-03</w:t>
      </w:r>
    </w:p>
    <w:p w14:paraId="1944795B">
      <w:pPr>
        <w:widowControl w:val="0"/>
        <w:kinsoku/>
        <w:autoSpaceDE/>
        <w:autoSpaceDN/>
        <w:adjustRightInd/>
        <w:snapToGrid/>
        <w:spacing w:after="3120" w:afterLines="1000" w:line="219" w:lineRule="auto"/>
        <w:ind w:left="23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eastAsia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72F05173">
      <w:pPr>
        <w:pStyle w:val="24"/>
        <w:spacing w:after="1872"/>
        <w:rPr>
          <w:lang w:eastAsia="zh-CN"/>
        </w:rPr>
      </w:pPr>
      <w:bookmarkStart w:id="0" w:name="_Toc15392"/>
      <w:bookmarkStart w:id="1" w:name="_Toc19231"/>
      <w:r>
        <w:rPr>
          <w:lang w:eastAsia="zh-CN"/>
        </w:rPr>
        <w:t>陕西益利德软件科技有限公司</w:t>
      </w:r>
      <w:bookmarkEnd w:id="0"/>
      <w:bookmarkEnd w:id="1"/>
    </w:p>
    <w:p w14:paraId="0871AE3A">
      <w:pPr>
        <w:pStyle w:val="25"/>
        <w:spacing w:after="2808"/>
        <w:rPr>
          <w:rFonts w:hint="eastAsia"/>
        </w:rPr>
      </w:pPr>
      <w:bookmarkStart w:id="2" w:name="_Toc22916"/>
      <w:r>
        <w:rPr>
          <w:rFonts w:hint="eastAsia"/>
          <w:lang w:eastAsia="zh-CN"/>
        </w:rPr>
        <w:t>过程量化指标</w:t>
      </w:r>
      <w:bookmarkEnd w:id="2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2C6EF8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0C35ADE2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王潇</w:t>
            </w:r>
          </w:p>
        </w:tc>
        <w:tc>
          <w:tcPr>
            <w:tcW w:w="4261" w:type="dxa"/>
          </w:tcPr>
          <w:p w14:paraId="025C5D2B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</w:t>
            </w:r>
            <w:r>
              <w:rPr>
                <w:rFonts w:hint="eastAsia" w:eastAsiaTheme="minorEastAsia"/>
                <w:u w:val="single"/>
                <w:lang w:eastAsia="zh-CN"/>
              </w:rPr>
              <w:t>5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 w:eastAsiaTheme="minorEastAsia"/>
                <w:u w:val="single"/>
                <w:lang w:eastAsia="zh-CN"/>
              </w:rPr>
              <w:t>7</w:t>
            </w:r>
            <w:r>
              <w:rPr>
                <w:rFonts w:hint="eastAsia"/>
                <w:u w:val="single"/>
                <w:lang w:eastAsia="zh-CN"/>
              </w:rPr>
              <w:t>.30</w:t>
            </w:r>
          </w:p>
        </w:tc>
      </w:tr>
      <w:tr w14:paraId="1A24BE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384374A7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审核人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刘钢要</w:t>
            </w:r>
          </w:p>
        </w:tc>
        <w:tc>
          <w:tcPr>
            <w:tcW w:w="4261" w:type="dxa"/>
          </w:tcPr>
          <w:p w14:paraId="0EDEF334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</w:t>
            </w:r>
            <w:r>
              <w:rPr>
                <w:rFonts w:hint="eastAsia" w:eastAsiaTheme="minorEastAsia"/>
                <w:u w:val="single"/>
                <w:lang w:eastAsia="zh-CN"/>
              </w:rPr>
              <w:t>5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 w:eastAsiaTheme="minorEastAsia"/>
                <w:u w:val="single"/>
                <w:lang w:eastAsia="zh-CN"/>
              </w:rPr>
              <w:t>7</w:t>
            </w:r>
            <w:r>
              <w:rPr>
                <w:rFonts w:hint="eastAsia"/>
                <w:u w:val="single"/>
                <w:lang w:eastAsia="zh-CN"/>
              </w:rPr>
              <w:t>.30</w:t>
            </w:r>
          </w:p>
        </w:tc>
      </w:tr>
      <w:tr w14:paraId="0554F4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0EB78434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批准人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鲁玉锋</w:t>
            </w:r>
          </w:p>
        </w:tc>
        <w:tc>
          <w:tcPr>
            <w:tcW w:w="4261" w:type="dxa"/>
          </w:tcPr>
          <w:p w14:paraId="3157834D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</w:t>
            </w:r>
            <w:r>
              <w:rPr>
                <w:rFonts w:hint="eastAsia" w:eastAsiaTheme="minorEastAsia"/>
                <w:u w:val="single"/>
                <w:lang w:eastAsia="zh-CN"/>
              </w:rPr>
              <w:t>5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 w:eastAsiaTheme="minorEastAsia"/>
                <w:u w:val="single"/>
                <w:lang w:eastAsia="zh-CN"/>
              </w:rPr>
              <w:t>7</w:t>
            </w:r>
            <w:r>
              <w:rPr>
                <w:rFonts w:hint="eastAsia"/>
                <w:u w:val="single"/>
                <w:lang w:eastAsia="zh-CN"/>
              </w:rPr>
              <w:t>.30</w:t>
            </w:r>
          </w:p>
        </w:tc>
      </w:tr>
    </w:tbl>
    <w:p w14:paraId="273839F8">
      <w:r>
        <w:br w:type="page"/>
      </w:r>
    </w:p>
    <w:p w14:paraId="3314B543">
      <w:pPr>
        <w:spacing w:before="153" w:line="225" w:lineRule="auto"/>
        <w:ind w:left="3634"/>
        <w:rPr>
          <w:rFonts w:hint="eastAsia"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503500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3C7AA0D5">
            <w:pPr>
              <w:spacing w:before="176" w:line="228" w:lineRule="auto"/>
              <w:ind w:left="607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4778EEE2">
            <w:pPr>
              <w:spacing w:before="175" w:line="227" w:lineRule="auto"/>
              <w:ind w:left="253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05713656">
            <w:pPr>
              <w:spacing w:before="175" w:line="228" w:lineRule="auto"/>
              <w:ind w:left="73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633E39BC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6539DFD9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784D8004">
            <w:pPr>
              <w:spacing w:before="176" w:line="229" w:lineRule="auto"/>
              <w:ind w:left="311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3342EE1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C6BBEB7">
            <w:pPr>
              <w:spacing w:before="173" w:line="267" w:lineRule="exact"/>
              <w:ind w:left="26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</w:t>
            </w:r>
            <w:r>
              <w:rPr>
                <w:rFonts w:hint="eastAsia" w:ascii="宋体" w:hAnsi="宋体" w:eastAsia="宋体" w:cs="宋体"/>
                <w:spacing w:val="3"/>
                <w:position w:val="1"/>
                <w:sz w:val="20"/>
                <w:szCs w:val="20"/>
                <w:lang w:eastAsia="zh-CN"/>
              </w:rPr>
              <w:t>5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.0</w:t>
            </w:r>
            <w:r>
              <w:rPr>
                <w:rFonts w:hint="eastAsia" w:ascii="宋体" w:hAnsi="宋体" w:eastAsia="宋体" w:cs="宋体"/>
                <w:spacing w:val="3"/>
                <w:position w:val="1"/>
                <w:sz w:val="20"/>
                <w:szCs w:val="20"/>
                <w:lang w:eastAsia="zh-CN"/>
              </w:rPr>
              <w:t>7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.08</w:t>
            </w:r>
          </w:p>
        </w:tc>
        <w:tc>
          <w:tcPr>
            <w:tcW w:w="919" w:type="dxa"/>
          </w:tcPr>
          <w:p w14:paraId="6C8045F3">
            <w:pPr>
              <w:spacing w:before="173" w:line="267" w:lineRule="exact"/>
              <w:ind w:left="248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10086275">
            <w:pPr>
              <w:spacing w:before="172" w:line="228" w:lineRule="auto"/>
              <w:ind w:left="114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2CB5DAA0">
            <w:pPr>
              <w:spacing w:before="172" w:line="228" w:lineRule="auto"/>
              <w:ind w:left="313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王潇</w:t>
            </w:r>
            <w:bookmarkStart w:id="3" w:name="_GoBack"/>
            <w:bookmarkEnd w:id="3"/>
          </w:p>
        </w:tc>
        <w:tc>
          <w:tcPr>
            <w:tcW w:w="1150" w:type="dxa"/>
          </w:tcPr>
          <w:p w14:paraId="579107D6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5"/>
                <w:sz w:val="20"/>
                <w:szCs w:val="20"/>
                <w:lang w:val="en-US" w:eastAsia="zh-CN"/>
              </w:rPr>
              <w:t>刘钢要</w:t>
            </w:r>
          </w:p>
        </w:tc>
        <w:tc>
          <w:tcPr>
            <w:tcW w:w="1240" w:type="dxa"/>
          </w:tcPr>
          <w:p w14:paraId="71E6832B">
            <w:pPr>
              <w:spacing w:before="173" w:line="229" w:lineRule="auto"/>
              <w:ind w:left="314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eastAsia="zh-CN"/>
              </w:rPr>
              <w:t>鲁玉锋</w:t>
            </w:r>
          </w:p>
        </w:tc>
      </w:tr>
      <w:tr w14:paraId="3F42AEA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9B426A5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7F3B5650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226B3B1E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06C7B1B6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35F9555B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394C4D6A">
            <w:pPr>
              <w:pStyle w:val="27"/>
              <w:rPr>
                <w:rFonts w:hint="eastAsia"/>
              </w:rPr>
            </w:pPr>
          </w:p>
        </w:tc>
      </w:tr>
      <w:tr w14:paraId="78BE767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7C341483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7503D47B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2EFB6C4B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7E764B97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1B3ED199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53FBAA3B">
            <w:pPr>
              <w:pStyle w:val="27"/>
              <w:rPr>
                <w:rFonts w:hint="eastAsia"/>
              </w:rPr>
            </w:pPr>
          </w:p>
        </w:tc>
      </w:tr>
      <w:tr w14:paraId="44304A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3DD4B08A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23858636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547A848E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7B3C2B9A">
            <w:pPr>
              <w:pStyle w:val="27"/>
              <w:rPr>
                <w:rFonts w:hint="eastAsia"/>
              </w:rPr>
            </w:pPr>
          </w:p>
        </w:tc>
        <w:tc>
          <w:tcPr>
            <w:tcW w:w="1150" w:type="dxa"/>
          </w:tcPr>
          <w:p w14:paraId="4E61A1FD">
            <w:pPr>
              <w:pStyle w:val="27"/>
              <w:rPr>
                <w:rFonts w:hint="eastAsia"/>
              </w:rPr>
            </w:pPr>
          </w:p>
        </w:tc>
        <w:tc>
          <w:tcPr>
            <w:tcW w:w="1240" w:type="dxa"/>
          </w:tcPr>
          <w:p w14:paraId="1290483F">
            <w:pPr>
              <w:pStyle w:val="27"/>
              <w:rPr>
                <w:rFonts w:hint="eastAsia"/>
              </w:rPr>
            </w:pPr>
          </w:p>
        </w:tc>
      </w:tr>
      <w:tr w14:paraId="186F40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BA680B2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0DA3D3A1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60FA8C58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06E70967">
            <w:pPr>
              <w:pStyle w:val="27"/>
              <w:rPr>
                <w:rFonts w:hint="eastAsia"/>
              </w:rPr>
            </w:pPr>
          </w:p>
        </w:tc>
        <w:tc>
          <w:tcPr>
            <w:tcW w:w="1150" w:type="dxa"/>
          </w:tcPr>
          <w:p w14:paraId="68606A70">
            <w:pPr>
              <w:pStyle w:val="27"/>
              <w:rPr>
                <w:rFonts w:hint="eastAsia"/>
              </w:rPr>
            </w:pPr>
          </w:p>
        </w:tc>
        <w:tc>
          <w:tcPr>
            <w:tcW w:w="1240" w:type="dxa"/>
          </w:tcPr>
          <w:p w14:paraId="55E04977">
            <w:pPr>
              <w:pStyle w:val="27"/>
              <w:rPr>
                <w:rFonts w:hint="eastAsia"/>
              </w:rPr>
            </w:pPr>
          </w:p>
        </w:tc>
      </w:tr>
      <w:tr w14:paraId="0C4A156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7F1BD1F7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6952DE33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2B2332E7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0064A2BC">
            <w:pPr>
              <w:pStyle w:val="27"/>
              <w:rPr>
                <w:rFonts w:hint="eastAsia"/>
              </w:rPr>
            </w:pPr>
          </w:p>
        </w:tc>
        <w:tc>
          <w:tcPr>
            <w:tcW w:w="1150" w:type="dxa"/>
          </w:tcPr>
          <w:p w14:paraId="2FC3BF78">
            <w:pPr>
              <w:pStyle w:val="27"/>
              <w:rPr>
                <w:rFonts w:hint="eastAsia"/>
              </w:rPr>
            </w:pPr>
          </w:p>
        </w:tc>
        <w:tc>
          <w:tcPr>
            <w:tcW w:w="1240" w:type="dxa"/>
          </w:tcPr>
          <w:p w14:paraId="039528C7">
            <w:pPr>
              <w:pStyle w:val="27"/>
              <w:rPr>
                <w:rFonts w:hint="eastAsia"/>
              </w:rPr>
            </w:pPr>
          </w:p>
        </w:tc>
      </w:tr>
    </w:tbl>
    <w:p w14:paraId="1124430D">
      <w:r>
        <w:br w:type="page"/>
      </w:r>
    </w:p>
    <w:sdt>
      <w:sdtPr>
        <w:rPr>
          <w:rFonts w:ascii="宋体" w:hAnsi="宋体" w:eastAsia="宋体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z w:val="24"/>
          <w:szCs w:val="24"/>
        </w:rPr>
      </w:sdtEndPr>
      <w:sdtContent>
        <w:p w14:paraId="372CFE66">
          <w:pPr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54285D2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fldChar w:fldCharType="begin"/>
          </w:r>
          <w:r>
            <w:instrText xml:space="preserve"> HYPERLINK \l "_Toc15392" </w:instrText>
          </w:r>
          <w:r>
            <w:fldChar w:fldCharType="separate"/>
          </w:r>
          <w:r>
            <w:rPr>
              <w:rFonts w:hint="eastAsia"/>
              <w:lang w:eastAsia="zh-CN"/>
            </w:rPr>
            <w:t>陕西益利德软件科技有限公司</w:t>
          </w:r>
          <w:r>
            <w:tab/>
          </w:r>
          <w:r>
            <w:fldChar w:fldCharType="begin"/>
          </w:r>
          <w:r>
            <w:instrText xml:space="preserve"> PAGEREF _Toc15392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B899F2B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"_Toc22916" </w:instrText>
          </w:r>
          <w:r>
            <w:fldChar w:fldCharType="separate"/>
          </w:r>
          <w:r>
            <w:rPr>
              <w:rFonts w:hint="eastAsia"/>
              <w:lang w:eastAsia="zh-CN"/>
            </w:rPr>
            <w:t>过程量化指标</w:t>
          </w:r>
          <w:r>
            <w:tab/>
          </w:r>
          <w:r>
            <w:fldChar w:fldCharType="begin"/>
          </w:r>
          <w:r>
            <w:instrText xml:space="preserve"> PAGEREF _Toc22916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9AC08D7">
          <w:pPr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37DC003D">
      <w:r>
        <w:br w:type="page"/>
      </w:r>
    </w:p>
    <w:p w14:paraId="0E01FFBA">
      <w:pPr>
        <w:jc w:val="center"/>
        <w:rPr>
          <w:rFonts w:eastAsia="宋体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陕西华龙制药有限公司SPS产品支持服务项目</w:t>
      </w:r>
      <w:r>
        <w:rPr>
          <w:rFonts w:hint="eastAsia" w:eastAsia="宋体"/>
          <w:b/>
          <w:bCs/>
          <w:lang w:eastAsia="zh-CN"/>
        </w:rPr>
        <w:t>-过程量化指标</w:t>
      </w:r>
    </w:p>
    <w:tbl>
      <w:tblPr>
        <w:tblStyle w:val="26"/>
        <w:tblW w:w="9604" w:type="dxa"/>
        <w:tblInd w:w="6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5"/>
        <w:gridCol w:w="2131"/>
        <w:gridCol w:w="860"/>
        <w:gridCol w:w="3644"/>
        <w:gridCol w:w="640"/>
        <w:gridCol w:w="1124"/>
      </w:tblGrid>
      <w:tr w14:paraId="5BE48CA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1147" w:type="dxa"/>
            <w:vAlign w:val="center"/>
          </w:tcPr>
          <w:p w14:paraId="7DBC34B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过程框架设计</w:t>
            </w:r>
          </w:p>
        </w:tc>
        <w:tc>
          <w:tcPr>
            <w:tcW w:w="2028" w:type="dxa"/>
          </w:tcPr>
          <w:p w14:paraId="383E7E5C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过程框架设计与服务需求的匹配率</w:t>
            </w:r>
          </w:p>
        </w:tc>
        <w:tc>
          <w:tcPr>
            <w:tcW w:w="818" w:type="dxa"/>
          </w:tcPr>
          <w:p w14:paraId="5082664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≥85%</w:t>
            </w:r>
          </w:p>
        </w:tc>
        <w:tc>
          <w:tcPr>
            <w:tcW w:w="3468" w:type="dxa"/>
          </w:tcPr>
          <w:p w14:paraId="359A0630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过程框架设计与服务需求的匹配率</w:t>
            </w:r>
          </w:p>
        </w:tc>
        <w:tc>
          <w:tcPr>
            <w:tcW w:w="609" w:type="dxa"/>
          </w:tcPr>
          <w:p w14:paraId="70EC1DDA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</w:tcPr>
          <w:p w14:paraId="2D4219CD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交付部</w:t>
            </w:r>
          </w:p>
        </w:tc>
      </w:tr>
      <w:tr w14:paraId="098CDE1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1147" w:type="dxa"/>
            <w:vMerge w:val="restart"/>
            <w:vAlign w:val="center"/>
          </w:tcPr>
          <w:p w14:paraId="69F427C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服务级别</w:t>
            </w:r>
          </w:p>
        </w:tc>
        <w:tc>
          <w:tcPr>
            <w:tcW w:w="2028" w:type="dxa"/>
          </w:tcPr>
          <w:p w14:paraId="56A6B99C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服务级别达成率</w:t>
            </w:r>
          </w:p>
        </w:tc>
        <w:tc>
          <w:tcPr>
            <w:tcW w:w="818" w:type="dxa"/>
          </w:tcPr>
          <w:p w14:paraId="552B77FA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468" w:type="dxa"/>
          </w:tcPr>
          <w:p w14:paraId="7FA697A5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达成SLA要求的项目数/项目总数*100%</w:t>
            </w:r>
          </w:p>
        </w:tc>
        <w:tc>
          <w:tcPr>
            <w:tcW w:w="609" w:type="dxa"/>
          </w:tcPr>
          <w:p w14:paraId="35148F60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每月</w:t>
            </w:r>
          </w:p>
        </w:tc>
        <w:tc>
          <w:tcPr>
            <w:tcW w:w="1070" w:type="dxa"/>
          </w:tcPr>
          <w:p w14:paraId="70CD2838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交付部</w:t>
            </w:r>
          </w:p>
        </w:tc>
      </w:tr>
      <w:tr w14:paraId="4164E9F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</w:trPr>
        <w:tc>
          <w:tcPr>
            <w:tcW w:w="1147" w:type="dxa"/>
            <w:vMerge w:val="continue"/>
            <w:vAlign w:val="center"/>
          </w:tcPr>
          <w:p w14:paraId="7C30C1A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</w:tcPr>
          <w:p w14:paraId="75818DA3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SLA达成情况按时监控率</w:t>
            </w:r>
          </w:p>
        </w:tc>
        <w:tc>
          <w:tcPr>
            <w:tcW w:w="818" w:type="dxa"/>
          </w:tcPr>
          <w:p w14:paraId="0623972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468" w:type="dxa"/>
          </w:tcPr>
          <w:p w14:paraId="1E69C301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得到及时监控的项目数/项目总数*100%</w:t>
            </w:r>
          </w:p>
        </w:tc>
        <w:tc>
          <w:tcPr>
            <w:tcW w:w="609" w:type="dxa"/>
          </w:tcPr>
          <w:p w14:paraId="5A6AB40F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</w:tcPr>
          <w:p w14:paraId="4A8A943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交付部</w:t>
            </w:r>
          </w:p>
        </w:tc>
      </w:tr>
      <w:tr w14:paraId="4C9EAE1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147" w:type="dxa"/>
            <w:vMerge w:val="continue"/>
            <w:vAlign w:val="center"/>
          </w:tcPr>
          <w:p w14:paraId="5771208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</w:tcPr>
          <w:p w14:paraId="29F95C18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未达成指标分析并制定改进措施比率</w:t>
            </w:r>
          </w:p>
        </w:tc>
        <w:tc>
          <w:tcPr>
            <w:tcW w:w="818" w:type="dxa"/>
          </w:tcPr>
          <w:p w14:paraId="5E4ECD0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3468" w:type="dxa"/>
          </w:tcPr>
          <w:p w14:paraId="101C43E3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监控指标未达标时分析并制定改进措施次数/未达成指标数量*100%</w:t>
            </w:r>
          </w:p>
        </w:tc>
        <w:tc>
          <w:tcPr>
            <w:tcW w:w="609" w:type="dxa"/>
          </w:tcPr>
          <w:p w14:paraId="276513BD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</w:tcPr>
          <w:p w14:paraId="6BB2FCF2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交付部</w:t>
            </w:r>
          </w:p>
        </w:tc>
      </w:tr>
      <w:tr w14:paraId="3C056AB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147" w:type="dxa"/>
            <w:vMerge w:val="restart"/>
            <w:vAlign w:val="center"/>
          </w:tcPr>
          <w:p w14:paraId="7E89DB5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服务报告</w:t>
            </w:r>
          </w:p>
        </w:tc>
        <w:tc>
          <w:tcPr>
            <w:tcW w:w="2028" w:type="dxa"/>
          </w:tcPr>
          <w:p w14:paraId="09B12FF1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服务报告按时交付率</w:t>
            </w:r>
          </w:p>
        </w:tc>
        <w:tc>
          <w:tcPr>
            <w:tcW w:w="818" w:type="dxa"/>
          </w:tcPr>
          <w:p w14:paraId="6D88EA05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3468" w:type="dxa"/>
          </w:tcPr>
          <w:p w14:paraId="3886A7DF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服务报告按时交付数/服务报告总数*100%</w:t>
            </w:r>
          </w:p>
        </w:tc>
        <w:tc>
          <w:tcPr>
            <w:tcW w:w="609" w:type="dxa"/>
          </w:tcPr>
          <w:p w14:paraId="20E2D8C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</w:tcPr>
          <w:p w14:paraId="39A2F7B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交付部</w:t>
            </w:r>
          </w:p>
        </w:tc>
      </w:tr>
      <w:tr w14:paraId="12C2DFB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147" w:type="dxa"/>
            <w:vMerge w:val="continue"/>
            <w:vAlign w:val="center"/>
          </w:tcPr>
          <w:p w14:paraId="36DBBC6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</w:tcPr>
          <w:p w14:paraId="26D7B80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服务报告审核率</w:t>
            </w:r>
          </w:p>
        </w:tc>
        <w:tc>
          <w:tcPr>
            <w:tcW w:w="818" w:type="dxa"/>
          </w:tcPr>
          <w:p w14:paraId="3CBB9AA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3468" w:type="dxa"/>
          </w:tcPr>
          <w:p w14:paraId="042864F7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服务发布前按程序审核数/服务报告总数*100%</w:t>
            </w:r>
          </w:p>
        </w:tc>
        <w:tc>
          <w:tcPr>
            <w:tcW w:w="609" w:type="dxa"/>
          </w:tcPr>
          <w:p w14:paraId="1CB613FA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</w:tcPr>
          <w:p w14:paraId="102912CC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交付部</w:t>
            </w:r>
          </w:p>
        </w:tc>
      </w:tr>
      <w:tr w14:paraId="5D24B92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8" w:hRule="atLeast"/>
        </w:trPr>
        <w:tc>
          <w:tcPr>
            <w:tcW w:w="1147" w:type="dxa"/>
            <w:vAlign w:val="center"/>
          </w:tcPr>
          <w:p w14:paraId="590C835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事件管理</w:t>
            </w:r>
          </w:p>
        </w:tc>
        <w:tc>
          <w:tcPr>
            <w:tcW w:w="2028" w:type="dxa"/>
          </w:tcPr>
          <w:p w14:paraId="5018362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事件及时响应率</w:t>
            </w:r>
          </w:p>
        </w:tc>
        <w:tc>
          <w:tcPr>
            <w:tcW w:w="818" w:type="dxa"/>
          </w:tcPr>
          <w:p w14:paraId="4BE1D520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468" w:type="dxa"/>
          </w:tcPr>
          <w:p w14:paraId="31BA027E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月度及时响应的事件/月度总事件*100%</w:t>
            </w:r>
          </w:p>
        </w:tc>
        <w:tc>
          <w:tcPr>
            <w:tcW w:w="609" w:type="dxa"/>
          </w:tcPr>
          <w:p w14:paraId="47FE7BC2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每月</w:t>
            </w:r>
          </w:p>
        </w:tc>
        <w:tc>
          <w:tcPr>
            <w:tcW w:w="1070" w:type="dxa"/>
          </w:tcPr>
          <w:p w14:paraId="08DE8F1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交付部</w:t>
            </w:r>
          </w:p>
        </w:tc>
      </w:tr>
      <w:tr w14:paraId="2019795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147" w:type="dxa"/>
            <w:vMerge w:val="restart"/>
            <w:vAlign w:val="center"/>
          </w:tcPr>
          <w:p w14:paraId="64E0E04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问题管理</w:t>
            </w:r>
          </w:p>
        </w:tc>
        <w:tc>
          <w:tcPr>
            <w:tcW w:w="2028" w:type="dxa"/>
          </w:tcPr>
          <w:p w14:paraId="22097B22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三次同类事件分析率</w:t>
            </w:r>
          </w:p>
        </w:tc>
        <w:tc>
          <w:tcPr>
            <w:tcW w:w="818" w:type="dxa"/>
          </w:tcPr>
          <w:p w14:paraId="60C591A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3468" w:type="dxa"/>
          </w:tcPr>
          <w:p w14:paraId="1672A13F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发生三次同类事件时提供分析报告数/当季发生三次同类事件情况总数*100%</w:t>
            </w:r>
          </w:p>
        </w:tc>
        <w:tc>
          <w:tcPr>
            <w:tcW w:w="609" w:type="dxa"/>
          </w:tcPr>
          <w:p w14:paraId="46A0A9F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</w:tcPr>
          <w:p w14:paraId="1CA5CF9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交付部</w:t>
            </w:r>
          </w:p>
        </w:tc>
      </w:tr>
      <w:tr w14:paraId="532481F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147" w:type="dxa"/>
            <w:vMerge w:val="continue"/>
            <w:vAlign w:val="center"/>
          </w:tcPr>
          <w:p w14:paraId="0C5011B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</w:tcPr>
          <w:p w14:paraId="76C5360E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问题三个月内得到解决的比率</w:t>
            </w:r>
          </w:p>
        </w:tc>
        <w:tc>
          <w:tcPr>
            <w:tcW w:w="818" w:type="dxa"/>
          </w:tcPr>
          <w:p w14:paraId="06B7B259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3468" w:type="dxa"/>
          </w:tcPr>
          <w:p w14:paraId="5041AC2A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问题在三个月内得到解决的数量/发生问题总数*100%</w:t>
            </w:r>
          </w:p>
        </w:tc>
        <w:tc>
          <w:tcPr>
            <w:tcW w:w="609" w:type="dxa"/>
          </w:tcPr>
          <w:p w14:paraId="0276AB11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</w:tcPr>
          <w:p w14:paraId="1D8D5C8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交付部</w:t>
            </w:r>
          </w:p>
        </w:tc>
      </w:tr>
      <w:tr w14:paraId="4ADEEA6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1147" w:type="dxa"/>
            <w:vMerge w:val="restart"/>
            <w:vAlign w:val="center"/>
          </w:tcPr>
          <w:p w14:paraId="3A9AAB0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变更管理</w:t>
            </w:r>
          </w:p>
        </w:tc>
        <w:tc>
          <w:tcPr>
            <w:tcW w:w="2028" w:type="dxa"/>
          </w:tcPr>
          <w:p w14:paraId="5AA13F7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变更成功率</w:t>
            </w:r>
          </w:p>
        </w:tc>
        <w:tc>
          <w:tcPr>
            <w:tcW w:w="818" w:type="dxa"/>
          </w:tcPr>
          <w:p w14:paraId="770D342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468" w:type="dxa"/>
          </w:tcPr>
          <w:p w14:paraId="5096167A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变更成功的数量/变更总数*100%</w:t>
            </w:r>
          </w:p>
        </w:tc>
        <w:tc>
          <w:tcPr>
            <w:tcW w:w="609" w:type="dxa"/>
          </w:tcPr>
          <w:p w14:paraId="28E9389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</w:tcPr>
          <w:p w14:paraId="162CAC69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交付部</w:t>
            </w:r>
          </w:p>
        </w:tc>
      </w:tr>
      <w:tr w14:paraId="5E74C3A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5" w:hRule="atLeast"/>
        </w:trPr>
        <w:tc>
          <w:tcPr>
            <w:tcW w:w="1147" w:type="dxa"/>
            <w:vMerge w:val="continue"/>
            <w:vAlign w:val="center"/>
          </w:tcPr>
          <w:p w14:paraId="64D4068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</w:tcPr>
          <w:p w14:paraId="350A517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紧急变更比率</w:t>
            </w:r>
          </w:p>
        </w:tc>
        <w:tc>
          <w:tcPr>
            <w:tcW w:w="818" w:type="dxa"/>
          </w:tcPr>
          <w:p w14:paraId="67E40A7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&lt;10%</w:t>
            </w:r>
          </w:p>
        </w:tc>
        <w:tc>
          <w:tcPr>
            <w:tcW w:w="3468" w:type="dxa"/>
          </w:tcPr>
          <w:p w14:paraId="32722E9B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紧急变更的数量/变更总数*100%</w:t>
            </w:r>
          </w:p>
        </w:tc>
        <w:tc>
          <w:tcPr>
            <w:tcW w:w="609" w:type="dxa"/>
          </w:tcPr>
          <w:p w14:paraId="6172ACB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</w:tcPr>
          <w:p w14:paraId="0758384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交付部</w:t>
            </w:r>
          </w:p>
        </w:tc>
      </w:tr>
      <w:tr w14:paraId="20E6B26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1" w:hRule="atLeast"/>
        </w:trPr>
        <w:tc>
          <w:tcPr>
            <w:tcW w:w="1147" w:type="dxa"/>
            <w:vAlign w:val="center"/>
          </w:tcPr>
          <w:p w14:paraId="4083BEA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发布管理</w:t>
            </w:r>
          </w:p>
        </w:tc>
        <w:tc>
          <w:tcPr>
            <w:tcW w:w="2028" w:type="dxa"/>
          </w:tcPr>
          <w:p w14:paraId="193601B5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发布实施成功率</w:t>
            </w:r>
          </w:p>
        </w:tc>
        <w:tc>
          <w:tcPr>
            <w:tcW w:w="818" w:type="dxa"/>
          </w:tcPr>
          <w:p w14:paraId="47EC4BF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468" w:type="dxa"/>
          </w:tcPr>
          <w:p w14:paraId="4F2AA941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发布实施成功总数/发布实施总数*100%</w:t>
            </w:r>
          </w:p>
        </w:tc>
        <w:tc>
          <w:tcPr>
            <w:tcW w:w="609" w:type="dxa"/>
          </w:tcPr>
          <w:p w14:paraId="32AC05BF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</w:tcPr>
          <w:p w14:paraId="0C652FC8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交付部</w:t>
            </w:r>
          </w:p>
        </w:tc>
      </w:tr>
      <w:tr w14:paraId="6C70844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147" w:type="dxa"/>
            <w:vMerge w:val="restart"/>
            <w:vAlign w:val="center"/>
          </w:tcPr>
          <w:p w14:paraId="4D56A30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配置管理</w:t>
            </w:r>
          </w:p>
        </w:tc>
        <w:tc>
          <w:tcPr>
            <w:tcW w:w="2028" w:type="dxa"/>
          </w:tcPr>
          <w:p w14:paraId="0FB86729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配置项更新时间达标率</w:t>
            </w:r>
          </w:p>
        </w:tc>
        <w:tc>
          <w:tcPr>
            <w:tcW w:w="818" w:type="dxa"/>
          </w:tcPr>
          <w:p w14:paraId="305A44CC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3468" w:type="dxa"/>
          </w:tcPr>
          <w:p w14:paraId="120E02BB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配置项变更时在7日内更新记录的项目数/发生配置项变更的项目总数*100%</w:t>
            </w:r>
          </w:p>
        </w:tc>
        <w:tc>
          <w:tcPr>
            <w:tcW w:w="609" w:type="dxa"/>
          </w:tcPr>
          <w:p w14:paraId="3E8B716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</w:tcPr>
          <w:p w14:paraId="0689B850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交付部</w:t>
            </w:r>
          </w:p>
        </w:tc>
      </w:tr>
      <w:tr w14:paraId="6A36B90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147" w:type="dxa"/>
            <w:vMerge w:val="continue"/>
            <w:vAlign w:val="center"/>
          </w:tcPr>
          <w:p w14:paraId="338F0F2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</w:tcPr>
          <w:p w14:paraId="12460F89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抽查配置管理数据库准确率</w:t>
            </w:r>
          </w:p>
        </w:tc>
        <w:tc>
          <w:tcPr>
            <w:tcW w:w="818" w:type="dxa"/>
          </w:tcPr>
          <w:p w14:paraId="24CEBA9C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≥98%</w:t>
            </w:r>
          </w:p>
        </w:tc>
        <w:tc>
          <w:tcPr>
            <w:tcW w:w="3468" w:type="dxa"/>
          </w:tcPr>
          <w:p w14:paraId="29D9C339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抽查的配置项记录与现场实际相符的项目数/抽查配置项的项目总数*100%</w:t>
            </w:r>
          </w:p>
        </w:tc>
        <w:tc>
          <w:tcPr>
            <w:tcW w:w="609" w:type="dxa"/>
          </w:tcPr>
          <w:p w14:paraId="22231F4D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</w:tcPr>
          <w:p w14:paraId="38748C4A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交付部</w:t>
            </w:r>
          </w:p>
        </w:tc>
      </w:tr>
      <w:tr w14:paraId="5A0168C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147" w:type="dxa"/>
            <w:vAlign w:val="center"/>
          </w:tcPr>
          <w:p w14:paraId="5064A8E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服务可用性和连续性管理</w:t>
            </w:r>
          </w:p>
        </w:tc>
        <w:tc>
          <w:tcPr>
            <w:tcW w:w="2028" w:type="dxa"/>
          </w:tcPr>
          <w:p w14:paraId="40B015E2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系统可用率</w:t>
            </w:r>
          </w:p>
        </w:tc>
        <w:tc>
          <w:tcPr>
            <w:tcW w:w="818" w:type="dxa"/>
          </w:tcPr>
          <w:p w14:paraId="3E445DE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≥98%</w:t>
            </w:r>
          </w:p>
        </w:tc>
        <w:tc>
          <w:tcPr>
            <w:tcW w:w="3468" w:type="dxa"/>
          </w:tcPr>
          <w:p w14:paraId="5FD29EAF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系统可用的数量/系统总数*100%</w:t>
            </w:r>
          </w:p>
        </w:tc>
        <w:tc>
          <w:tcPr>
            <w:tcW w:w="609" w:type="dxa"/>
          </w:tcPr>
          <w:p w14:paraId="2E1E9BE2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</w:tcPr>
          <w:p w14:paraId="674EEDB0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交付部</w:t>
            </w:r>
          </w:p>
        </w:tc>
      </w:tr>
      <w:tr w14:paraId="0F9C266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147" w:type="dxa"/>
            <w:vAlign w:val="center"/>
          </w:tcPr>
          <w:p w14:paraId="031E87F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系统容量管理</w:t>
            </w:r>
          </w:p>
        </w:tc>
        <w:tc>
          <w:tcPr>
            <w:tcW w:w="2028" w:type="dxa"/>
          </w:tcPr>
          <w:p w14:paraId="455211FA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由于容量原因发生的事件次数</w:t>
            </w:r>
          </w:p>
        </w:tc>
        <w:tc>
          <w:tcPr>
            <w:tcW w:w="818" w:type="dxa"/>
          </w:tcPr>
          <w:p w14:paraId="78886D19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&lt;3次</w:t>
            </w:r>
          </w:p>
        </w:tc>
        <w:tc>
          <w:tcPr>
            <w:tcW w:w="3468" w:type="dxa"/>
          </w:tcPr>
          <w:p w14:paraId="24CE61A7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由于容量原因发生的事件次数</w:t>
            </w:r>
          </w:p>
        </w:tc>
        <w:tc>
          <w:tcPr>
            <w:tcW w:w="609" w:type="dxa"/>
          </w:tcPr>
          <w:p w14:paraId="1C850A0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</w:tcPr>
          <w:p w14:paraId="36DE778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交付部</w:t>
            </w:r>
          </w:p>
        </w:tc>
      </w:tr>
      <w:tr w14:paraId="181E18E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 w:hRule="atLeast"/>
        </w:trPr>
        <w:tc>
          <w:tcPr>
            <w:tcW w:w="1147" w:type="dxa"/>
            <w:vMerge w:val="restart"/>
            <w:vAlign w:val="center"/>
          </w:tcPr>
          <w:p w14:paraId="7478EA6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信息安全</w:t>
            </w:r>
          </w:p>
        </w:tc>
        <w:tc>
          <w:tcPr>
            <w:tcW w:w="2028" w:type="dxa"/>
          </w:tcPr>
          <w:p w14:paraId="5DC5F7E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客户信息泄露次数</w:t>
            </w:r>
          </w:p>
        </w:tc>
        <w:tc>
          <w:tcPr>
            <w:tcW w:w="818" w:type="dxa"/>
          </w:tcPr>
          <w:p w14:paraId="0EC3CAC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0次</w:t>
            </w:r>
          </w:p>
        </w:tc>
        <w:tc>
          <w:tcPr>
            <w:tcW w:w="3468" w:type="dxa"/>
          </w:tcPr>
          <w:p w14:paraId="084641A8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服务过程中不得发生客户信息泄露</w:t>
            </w:r>
          </w:p>
        </w:tc>
        <w:tc>
          <w:tcPr>
            <w:tcW w:w="609" w:type="dxa"/>
          </w:tcPr>
          <w:p w14:paraId="0A5180F5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1070" w:type="dxa"/>
          </w:tcPr>
          <w:p w14:paraId="73CCEFF2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交付部</w:t>
            </w:r>
          </w:p>
        </w:tc>
      </w:tr>
      <w:tr w14:paraId="7F174B5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147" w:type="dxa"/>
            <w:vMerge w:val="continue"/>
            <w:vAlign w:val="center"/>
          </w:tcPr>
          <w:p w14:paraId="55AEA88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</w:tcPr>
          <w:p w14:paraId="2884A6AD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信息安全事件客户投诉</w:t>
            </w:r>
          </w:p>
        </w:tc>
        <w:tc>
          <w:tcPr>
            <w:tcW w:w="818" w:type="dxa"/>
          </w:tcPr>
          <w:p w14:paraId="03FB0DF2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0次</w:t>
            </w:r>
          </w:p>
        </w:tc>
        <w:tc>
          <w:tcPr>
            <w:tcW w:w="3468" w:type="dxa"/>
          </w:tcPr>
          <w:p w14:paraId="5152C13F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服务过程中不得发生信息安全事件客户投诉</w:t>
            </w:r>
          </w:p>
        </w:tc>
        <w:tc>
          <w:tcPr>
            <w:tcW w:w="609" w:type="dxa"/>
          </w:tcPr>
          <w:p w14:paraId="6ECC80E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1070" w:type="dxa"/>
          </w:tcPr>
          <w:p w14:paraId="3679F0CA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交付部</w:t>
            </w:r>
          </w:p>
        </w:tc>
      </w:tr>
    </w:tbl>
    <w:p w14:paraId="3BB1961B">
      <w:pPr>
        <w:rPr>
          <w:lang w:eastAsia="zh-CN"/>
        </w:rPr>
      </w:pPr>
    </w:p>
    <w:sectPr>
      <w:headerReference r:id="rId3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37A298">
    <w:pPr>
      <w:pStyle w:val="15"/>
      <w:pBdr>
        <w:bottom w:val="single" w:color="auto" w:sz="4" w:space="1"/>
      </w:pBdr>
      <w:jc w:val="right"/>
      <w:rPr>
        <w:rFonts w:eastAsiaTheme="minorEastAsia"/>
        <w:lang w:eastAsia="zh-CN"/>
      </w:rPr>
    </w:pPr>
    <w:r>
      <w:rPr>
        <w:rFonts w:hint="eastAsia" w:eastAsiaTheme="minorEastAsia"/>
        <w:lang w:eastAsia="zh-CN"/>
      </w:rPr>
      <w:t>陕西益利德软件科技有限公司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NotTrackMove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6856"/>
    <w:rsid w:val="00611A2B"/>
    <w:rsid w:val="00713315"/>
    <w:rsid w:val="009276F1"/>
    <w:rsid w:val="009E07D1"/>
    <w:rsid w:val="00AA6856"/>
    <w:rsid w:val="00CE6BA4"/>
    <w:rsid w:val="02CE0909"/>
    <w:rsid w:val="7EA00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jc w:val="both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after="60"/>
      <w:jc w:val="center"/>
      <w:outlineLvl w:val="0"/>
    </w:pPr>
    <w:rPr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eastAsia="宋体"/>
      <w:sz w:val="32"/>
    </w:rPr>
  </w:style>
  <w:style w:type="paragraph" w:customStyle="1" w:styleId="29">
    <w:name w:val="柴_正文"/>
    <w:basedOn w:val="12"/>
    <w:qFormat/>
    <w:uiPriority w:val="0"/>
    <w:pPr>
      <w:spacing w:line="360" w:lineRule="auto"/>
      <w:ind w:firstLine="470" w:firstLineChars="200"/>
    </w:pPr>
    <w:rPr>
      <w:rFonts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1">
    <w:name w:val="柴_标题3"/>
    <w:basedOn w:val="4"/>
    <w:next w:val="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3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4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855</Words>
  <Characters>1006</Characters>
  <Lines>145</Lines>
  <Paragraphs>167</Paragraphs>
  <TotalTime>3</TotalTime>
  <ScaleCrop>false</ScaleCrop>
  <LinksUpToDate>false</LinksUpToDate>
  <CharactersWithSpaces>1012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2026-03-09T21:49:30Z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