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B829C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7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672E55AD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799BC7A">
      <w:pPr>
        <w:pStyle w:val="24"/>
        <w:widowControl w:val="0"/>
        <w:spacing w:after="1872"/>
        <w:rPr>
          <w:lang w:eastAsia="zh-CN"/>
        </w:rPr>
      </w:pPr>
      <w:bookmarkStart w:id="0" w:name="_Toc28751"/>
      <w:r>
        <w:rPr>
          <w:lang w:eastAsia="zh-CN"/>
        </w:rPr>
        <w:t>陕西益利德软件科技有限公司</w:t>
      </w:r>
      <w:bookmarkEnd w:id="0"/>
    </w:p>
    <w:p w14:paraId="5FE088C2">
      <w:pPr>
        <w:pStyle w:val="25"/>
        <w:widowControl w:val="0"/>
        <w:spacing w:after="2808"/>
        <w:rPr>
          <w:rFonts w:hint="eastAsia"/>
        </w:rPr>
      </w:pPr>
      <w:bookmarkStart w:id="1" w:name="_Toc7725"/>
      <w:r>
        <w:rPr>
          <w:rFonts w:hint="eastAsia"/>
          <w:lang w:eastAsia="zh-CN"/>
        </w:rPr>
        <w:t>运维研发报告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2CA7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43EB5ECE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 w14:paraId="37A0E6F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081F1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1C240592">
            <w:pPr>
              <w:widowControl w:val="0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2CF6837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2625C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BBE29C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955A84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</w:tbl>
    <w:p w14:paraId="13856AC9">
      <w:pPr>
        <w:widowControl w:val="0"/>
      </w:pPr>
      <w:r>
        <w:br w:type="page"/>
      </w:r>
    </w:p>
    <w:p w14:paraId="005E6FEC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3E3AD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1F86E7A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2B30B92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9CFD2AE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4D233C2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F184515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11F2BE4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F01EA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947714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4AA8F828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F44F1B8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22F9FBDC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  <w:vAlign w:val="top"/>
          </w:tcPr>
          <w:p w14:paraId="6B3FDC7E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BFAC91C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63A51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7CB50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639081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4F7FF4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909CF2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85C6B5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C8E216D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BB032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F707B5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938D41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42CFFC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D5E0A9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BC9997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010B30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A376B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917CD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56ED72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84038C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2CFD73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A7FD1B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49D1B9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2AEA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2242E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C6DFBE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26682A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1AFD69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1C7BA4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642908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8413D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232E10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4EEF68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E7442A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D2CED0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F8F38B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480476F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59E3F87B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9C07CD9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46EB80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_Toc28751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9362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_Toc7725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运维研发报告</w:t>
          </w:r>
          <w:r>
            <w:tab/>
          </w:r>
          <w:r>
            <w:fldChar w:fldCharType="begin"/>
          </w:r>
          <w:r>
            <w:instrText xml:space="preserve"> PAGEREF _Toc7725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939B4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_Toc22930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运维工具研发进度</w:t>
          </w:r>
          <w:r>
            <w:tab/>
          </w:r>
          <w:r>
            <w:fldChar w:fldCharType="begin"/>
          </w:r>
          <w:r>
            <w:instrText xml:space="preserve"> PAGEREF _Toc22930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0DB99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_Toc14611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研发进度</w:t>
          </w:r>
          <w:r>
            <w:tab/>
          </w:r>
          <w:r>
            <w:fldChar w:fldCharType="begin"/>
          </w:r>
          <w:r>
            <w:instrText xml:space="preserve"> PAGEREF _Toc14611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1F72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rFonts w:hint="eastAsia"/>
              <w:lang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B64E23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_Toc20434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_Toc20434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BB238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_Toc30109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1.2.2. </w:t>
          </w:r>
          <w:r>
            <w:rPr>
              <w:rFonts w:hint="eastAsia"/>
              <w:lang w:eastAsia="zh-CN"/>
            </w:rPr>
            <w:t>成果说明</w:t>
          </w:r>
          <w:r>
            <w:tab/>
          </w:r>
          <w:r>
            <w:fldChar w:fldCharType="begin"/>
          </w:r>
          <w:r>
            <w:instrText xml:space="preserve"> PAGEREF _Toc30109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D8700D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_Toc31558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1.2.3. </w:t>
          </w:r>
          <w:r>
            <w:rPr>
              <w:rFonts w:hint="eastAsia"/>
              <w:lang w:eastAsia="zh-CN"/>
            </w:rPr>
            <w:t>研发计划完成情况</w:t>
          </w:r>
          <w:r>
            <w:tab/>
          </w:r>
          <w:r>
            <w:fldChar w:fldCharType="begin"/>
          </w:r>
          <w:r>
            <w:instrText xml:space="preserve"> PAGEREF _Toc31558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3318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_Toc32287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rFonts w:hint="eastAsia"/>
              <w:lang w:eastAsia="zh-CN"/>
            </w:rPr>
            <w:t>模块完成情况</w:t>
          </w:r>
          <w:r>
            <w:tab/>
          </w:r>
          <w:r>
            <w:fldChar w:fldCharType="begin"/>
          </w:r>
          <w:r>
            <w:instrText xml:space="preserve"> PAGEREF _Toc32287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5294C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_Toc3914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1.3.1. </w:t>
          </w:r>
          <w:r>
            <w:rPr>
              <w:rFonts w:hint="eastAsia"/>
              <w:lang w:eastAsia="zh-CN"/>
            </w:rPr>
            <w:t>邮件告警实现</w:t>
          </w:r>
          <w:r>
            <w:tab/>
          </w:r>
          <w:r>
            <w:fldChar w:fldCharType="begin"/>
          </w:r>
          <w:r>
            <w:instrText xml:space="preserve"> PAGEREF _Toc3914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EB57B7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_Toc20249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1.3.2. </w:t>
          </w:r>
          <w:r>
            <w:rPr>
              <w:rFonts w:hint="eastAsia"/>
              <w:lang w:eastAsia="zh-CN"/>
            </w:rPr>
            <w:t>企业微信告警实现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F46106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_Toc13419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1.3.3. </w:t>
          </w:r>
          <w:r>
            <w:rPr>
              <w:rFonts w:hint="eastAsia"/>
              <w:lang w:eastAsia="zh-CN"/>
            </w:rPr>
            <w:t>手机告警实现</w:t>
          </w:r>
          <w:r>
            <w:tab/>
          </w:r>
          <w:r>
            <w:fldChar w:fldCharType="begin"/>
          </w:r>
          <w:r>
            <w:instrText xml:space="preserve"> PAGEREF _Toc13419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8D38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_Toc23076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运维工具应用情况及后续计划</w:t>
          </w:r>
          <w:r>
            <w:tab/>
          </w:r>
          <w:r>
            <w:fldChar w:fldCharType="begin"/>
          </w:r>
          <w:r>
            <w:instrText xml:space="preserve"> PAGEREF _Toc23076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B50B67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_Toc23580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当前应用情况</w:t>
          </w:r>
          <w:r>
            <w:tab/>
          </w:r>
          <w:r>
            <w:fldChar w:fldCharType="begin"/>
          </w:r>
          <w:r>
            <w:instrText xml:space="preserve"> PAGEREF _Toc23580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DF71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_Toc24638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后续推广计划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D3899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_Toc19306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运维手册研发进度</w:t>
          </w:r>
          <w:r>
            <w:tab/>
          </w:r>
          <w:r>
            <w:fldChar w:fldCharType="begin"/>
          </w:r>
          <w:r>
            <w:instrText xml:space="preserve"> PAGEREF _Toc19306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4A51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_Toc8734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研发进度</w:t>
          </w:r>
          <w:r>
            <w:tab/>
          </w:r>
          <w:r>
            <w:fldChar w:fldCharType="begin"/>
          </w:r>
          <w:r>
            <w:instrText xml:space="preserve"> PAGEREF _Toc8734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88BF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_Toc6285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_Toc6285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92FBB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_Toc15376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研发现状</w:t>
          </w:r>
          <w:r>
            <w:tab/>
          </w:r>
          <w:r>
            <w:fldChar w:fldCharType="begin"/>
          </w:r>
          <w:r>
            <w:instrText xml:space="preserve"> PAGEREF _Toc15376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772B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_Toc6600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2.3.1. </w:t>
          </w:r>
          <w:r>
            <w:rPr>
              <w:rFonts w:hint="eastAsia"/>
              <w:lang w:eastAsia="zh-CN"/>
            </w:rPr>
            <w:t>运维工具研发</w:t>
          </w:r>
          <w:r>
            <w:tab/>
          </w:r>
          <w:r>
            <w:fldChar w:fldCharType="begin"/>
          </w:r>
          <w:r>
            <w:instrText xml:space="preserve"> PAGEREF _Toc6600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53408B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_Toc20939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2.3.2. </w:t>
          </w:r>
          <w:r>
            <w:rPr>
              <w:rFonts w:hint="eastAsia"/>
              <w:lang w:eastAsia="zh-CN"/>
            </w:rPr>
            <w:t>运维手册研发</w:t>
          </w:r>
          <w:r>
            <w:tab/>
          </w:r>
          <w:r>
            <w:fldChar w:fldCharType="begin"/>
          </w:r>
          <w:r>
            <w:instrText xml:space="preserve"> PAGEREF _Toc20939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EE526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_Toc30833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资源使用情况</w:t>
          </w:r>
          <w:r>
            <w:tab/>
          </w:r>
          <w:r>
            <w:fldChar w:fldCharType="begin"/>
          </w:r>
          <w:r>
            <w:instrText xml:space="preserve"> PAGEREF _Toc30833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AADD0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_Toc4577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3.1.1. </w:t>
          </w:r>
          <w:r>
            <w:rPr>
              <w:rFonts w:hint="eastAsia"/>
              <w:lang w:eastAsia="zh-CN"/>
            </w:rPr>
            <w:t>研发经费使用情况</w:t>
          </w:r>
          <w:r>
            <w:tab/>
          </w:r>
          <w:r>
            <w:fldChar w:fldCharType="begin"/>
          </w:r>
          <w:r>
            <w:instrText xml:space="preserve"> PAGEREF _Toc4577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46CD4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_Toc28957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3.1.2. </w:t>
          </w:r>
          <w:r>
            <w:rPr>
              <w:rFonts w:hint="eastAsia"/>
              <w:lang w:val="en-US" w:eastAsia="zh-CN"/>
            </w:rPr>
            <w:t>人员投入情况</w:t>
          </w:r>
          <w:r>
            <w:tab/>
          </w:r>
          <w:r>
            <w:fldChar w:fldCharType="begin"/>
          </w:r>
          <w:r>
            <w:instrText xml:space="preserve"> PAGEREF _Toc28957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077B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_Toc5555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新技术展望</w:t>
          </w:r>
          <w:r>
            <w:tab/>
          </w:r>
          <w:r>
            <w:fldChar w:fldCharType="begin"/>
          </w:r>
          <w:r>
            <w:instrText xml:space="preserve"> PAGEREF _Toc5555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E114695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7CDAFD2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28DF087F">
      <w:pPr>
        <w:pStyle w:val="28"/>
        <w:keepNext w:val="0"/>
        <w:keepLines w:val="0"/>
        <w:widowControl w:val="0"/>
        <w:rPr>
          <w:lang w:eastAsia="zh-CN"/>
        </w:rPr>
      </w:pPr>
      <w:bookmarkStart w:id="2" w:name="_Toc15408"/>
      <w:bookmarkStart w:id="3" w:name="_Toc22930"/>
      <w:r>
        <w:rPr>
          <w:rFonts w:hint="eastAsia"/>
          <w:lang w:eastAsia="zh-CN"/>
        </w:rPr>
        <w:t>运维工具研发进度</w:t>
      </w:r>
      <w:bookmarkEnd w:id="2"/>
      <w:bookmarkEnd w:id="3"/>
    </w:p>
    <w:p w14:paraId="0F55B7B2">
      <w:pPr>
        <w:pStyle w:val="30"/>
        <w:keepNext w:val="0"/>
        <w:keepLines w:val="0"/>
        <w:widowControl w:val="0"/>
        <w:rPr>
          <w:lang w:eastAsia="zh-CN"/>
        </w:rPr>
      </w:pPr>
      <w:bookmarkStart w:id="4" w:name="_Toc14611"/>
      <w:r>
        <w:rPr>
          <w:rFonts w:hint="eastAsia"/>
          <w:lang w:eastAsia="zh-CN"/>
        </w:rPr>
        <w:t>研发进度</w:t>
      </w:r>
      <w:bookmarkEnd w:id="4"/>
    </w:p>
    <w:p w14:paraId="6674ED0C">
      <w:pPr>
        <w:pStyle w:val="29"/>
        <w:widowControl w:val="0"/>
        <w:ind w:firstLine="480"/>
      </w:pPr>
      <w:r>
        <w:rPr>
          <w:rFonts w:hint="eastAsia"/>
        </w:rPr>
        <w:t>根据研发计划，研发进度如表1-1所示：</w:t>
      </w:r>
    </w:p>
    <w:p w14:paraId="2EB6C6D8">
      <w:pPr>
        <w:widowControl w:val="0"/>
        <w:spacing w:before="106"/>
        <w:jc w:val="center"/>
        <w:rPr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STYLEREF "柴_标题1" \n \* Charformat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表 \* ARABIC  \s 1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Prometheus+Grafana 监控系统功能扩展进度</w:t>
      </w:r>
    </w:p>
    <w:tbl>
      <w:tblPr>
        <w:tblStyle w:val="2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799"/>
        <w:gridCol w:w="3417"/>
        <w:gridCol w:w="1509"/>
        <w:gridCol w:w="1509"/>
      </w:tblGrid>
      <w:tr w14:paraId="3AC8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34F70C02">
            <w:pPr>
              <w:pStyle w:val="29"/>
              <w:widowControl w:val="0"/>
              <w:ind w:firstLine="0" w:firstLineChars="0"/>
              <w:jc w:val="both"/>
            </w:pPr>
            <w:r>
              <w:rPr>
                <w:rFonts w:hint="eastAsia"/>
              </w:rPr>
              <w:t>序号</w:t>
            </w:r>
          </w:p>
        </w:tc>
        <w:tc>
          <w:tcPr>
            <w:tcW w:w="1799" w:type="dxa"/>
          </w:tcPr>
          <w:p w14:paraId="049483C5">
            <w:pPr>
              <w:pStyle w:val="29"/>
              <w:widowControl w:val="0"/>
              <w:ind w:firstLine="480"/>
              <w:jc w:val="both"/>
            </w:pPr>
            <w:r>
              <w:rPr>
                <w:rFonts w:hint="eastAsia"/>
              </w:rPr>
              <w:t>任务阶段</w:t>
            </w:r>
          </w:p>
        </w:tc>
        <w:tc>
          <w:tcPr>
            <w:tcW w:w="3417" w:type="dxa"/>
          </w:tcPr>
          <w:p w14:paraId="508FC447">
            <w:pPr>
              <w:pStyle w:val="29"/>
              <w:widowControl w:val="0"/>
              <w:ind w:firstLine="480"/>
              <w:jc w:val="both"/>
            </w:pPr>
            <w:r>
              <w:rPr>
                <w:rFonts w:hint="eastAsia"/>
              </w:rPr>
              <w:t>任务内容</w:t>
            </w:r>
          </w:p>
        </w:tc>
        <w:tc>
          <w:tcPr>
            <w:tcW w:w="1509" w:type="dxa"/>
          </w:tcPr>
          <w:p w14:paraId="3669BBF9">
            <w:pPr>
              <w:pStyle w:val="29"/>
              <w:widowControl w:val="0"/>
              <w:ind w:firstLine="0" w:firstLineChars="0"/>
              <w:jc w:val="both"/>
            </w:pPr>
            <w:r>
              <w:rPr>
                <w:rFonts w:hint="eastAsia"/>
              </w:rPr>
              <w:t>计划时间</w:t>
            </w:r>
          </w:p>
        </w:tc>
        <w:tc>
          <w:tcPr>
            <w:tcW w:w="1509" w:type="dxa"/>
          </w:tcPr>
          <w:p w14:paraId="115D13AE">
            <w:pPr>
              <w:pStyle w:val="29"/>
              <w:widowControl w:val="0"/>
              <w:ind w:firstLine="0" w:firstLineChars="0"/>
              <w:jc w:val="both"/>
            </w:pPr>
            <w:r>
              <w:rPr>
                <w:rFonts w:hint="eastAsia"/>
              </w:rPr>
              <w:t>完成情况</w:t>
            </w:r>
          </w:p>
        </w:tc>
      </w:tr>
      <w:tr w14:paraId="4324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40AD7FBF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</w:tcPr>
          <w:p w14:paraId="5B0A9AE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项目规划</w:t>
            </w:r>
          </w:p>
        </w:tc>
        <w:tc>
          <w:tcPr>
            <w:tcW w:w="3417" w:type="dxa"/>
          </w:tcPr>
          <w:p w14:paraId="40E47112">
            <w:pPr>
              <w:widowControl w:val="0"/>
              <w:numPr>
                <w:ilvl w:val="0"/>
                <w:numId w:val="3"/>
              </w:numPr>
              <w:jc w:val="both"/>
              <w:rPr>
                <w:lang w:eastAsia="zh-CN"/>
              </w:rPr>
            </w:pPr>
            <w:r>
              <w:rPr>
                <w:lang w:eastAsia="zh-CN"/>
              </w:rPr>
              <w:t>项目相关人员沟通，进行相关技术调研及预演；</w:t>
            </w:r>
          </w:p>
          <w:p w14:paraId="16D29662">
            <w:pPr>
              <w:widowControl w:val="0"/>
              <w:numPr>
                <w:ilvl w:val="0"/>
                <w:numId w:val="3"/>
              </w:numPr>
              <w:jc w:val="both"/>
              <w:rPr>
                <w:lang w:eastAsia="zh-CN"/>
              </w:rPr>
            </w:pPr>
            <w:r>
              <w:t>编写项目规划</w:t>
            </w:r>
          </w:p>
        </w:tc>
        <w:tc>
          <w:tcPr>
            <w:tcW w:w="1509" w:type="dxa"/>
            <w:vAlign w:val="top"/>
          </w:tcPr>
          <w:p w14:paraId="27DFF51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55CA0B6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7C97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6977E721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</w:tcPr>
          <w:p w14:paraId="37EABB8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需求分析</w:t>
            </w:r>
          </w:p>
        </w:tc>
        <w:tc>
          <w:tcPr>
            <w:tcW w:w="3417" w:type="dxa"/>
          </w:tcPr>
          <w:p w14:paraId="4329CC8A">
            <w:pPr>
              <w:widowControl w:val="0"/>
              <w:numPr>
                <w:ilvl w:val="0"/>
                <w:numId w:val="4"/>
              </w:numPr>
              <w:jc w:val="both"/>
              <w:rPr>
                <w:lang w:eastAsia="zh-CN"/>
              </w:rPr>
            </w:pPr>
            <w:r>
              <w:rPr>
                <w:lang w:eastAsia="zh-CN"/>
              </w:rPr>
              <w:t>调研用户需求及相关行业产品，形成优化需求说明</w:t>
            </w:r>
          </w:p>
        </w:tc>
        <w:tc>
          <w:tcPr>
            <w:tcW w:w="1509" w:type="dxa"/>
            <w:vAlign w:val="top"/>
          </w:tcPr>
          <w:p w14:paraId="3598AC7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3D1C2A8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F7A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692D5E60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</w:tcPr>
          <w:p w14:paraId="0C8A6CC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项目筹划、设计</w:t>
            </w:r>
          </w:p>
        </w:tc>
        <w:tc>
          <w:tcPr>
            <w:tcW w:w="3417" w:type="dxa"/>
          </w:tcPr>
          <w:p w14:paraId="357B06D3">
            <w:pPr>
              <w:widowControl w:val="0"/>
              <w:numPr>
                <w:ilvl w:val="0"/>
                <w:numId w:val="5"/>
              </w:numPr>
              <w:jc w:val="both"/>
            </w:pPr>
            <w:r>
              <w:t>组建小组；</w:t>
            </w:r>
          </w:p>
          <w:p w14:paraId="4BC196E8">
            <w:pPr>
              <w:widowControl w:val="0"/>
              <w:numPr>
                <w:ilvl w:val="0"/>
                <w:numId w:val="5"/>
              </w:numPr>
              <w:jc w:val="both"/>
              <w:rPr>
                <w:lang w:eastAsia="zh-CN"/>
              </w:rPr>
            </w:pPr>
            <w:r>
              <w:rPr>
                <w:lang w:eastAsia="zh-CN"/>
              </w:rPr>
              <w:t>完成系统设计方案编制；</w:t>
            </w:r>
          </w:p>
          <w:p w14:paraId="5CC71C58">
            <w:pPr>
              <w:widowControl w:val="0"/>
              <w:numPr>
                <w:ilvl w:val="0"/>
                <w:numId w:val="5"/>
              </w:numPr>
              <w:jc w:val="both"/>
              <w:rPr>
                <w:lang w:eastAsia="zh-CN"/>
              </w:rPr>
            </w:pPr>
            <w:r>
              <w:rPr>
                <w:lang w:eastAsia="zh-CN"/>
              </w:rPr>
              <w:t>规划评审，评审通过后进行立项；</w:t>
            </w:r>
          </w:p>
        </w:tc>
        <w:tc>
          <w:tcPr>
            <w:tcW w:w="1509" w:type="dxa"/>
            <w:vAlign w:val="top"/>
          </w:tcPr>
          <w:p w14:paraId="5D97428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0EE0C1E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331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0A75431E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  <w:vMerge w:val="restart"/>
          </w:tcPr>
          <w:p w14:paraId="4F9C8A6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开发、测试</w:t>
            </w:r>
          </w:p>
        </w:tc>
        <w:tc>
          <w:tcPr>
            <w:tcW w:w="3417" w:type="dxa"/>
          </w:tcPr>
          <w:p w14:paraId="437737BD">
            <w:pPr>
              <w:widowControl w:val="0"/>
              <w:numPr>
                <w:ilvl w:val="0"/>
                <w:numId w:val="6"/>
              </w:num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告警规则配置与维护模块</w:t>
            </w:r>
          </w:p>
        </w:tc>
        <w:tc>
          <w:tcPr>
            <w:tcW w:w="1509" w:type="dxa"/>
            <w:vAlign w:val="top"/>
          </w:tcPr>
          <w:p w14:paraId="4FA213B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17DB4D5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700C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3B014B92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  <w:vMerge w:val="continue"/>
          </w:tcPr>
          <w:p w14:paraId="3BBCF4C9">
            <w:pPr>
              <w:widowControl w:val="0"/>
              <w:jc w:val="both"/>
              <w:rPr>
                <w:lang w:eastAsia="zh-CN"/>
              </w:rPr>
            </w:pPr>
          </w:p>
        </w:tc>
        <w:tc>
          <w:tcPr>
            <w:tcW w:w="3417" w:type="dxa"/>
          </w:tcPr>
          <w:p w14:paraId="5B078734">
            <w:pPr>
              <w:widowControl w:val="0"/>
              <w:numPr>
                <w:ilvl w:val="0"/>
                <w:numId w:val="6"/>
              </w:num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Alertmanager集成与配置中心模块</w:t>
            </w:r>
          </w:p>
        </w:tc>
        <w:tc>
          <w:tcPr>
            <w:tcW w:w="1509" w:type="dxa"/>
            <w:vAlign w:val="top"/>
          </w:tcPr>
          <w:p w14:paraId="4ADABAF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44439735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7319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2F94C0AB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  <w:vMerge w:val="continue"/>
          </w:tcPr>
          <w:p w14:paraId="78B034DD">
            <w:pPr>
              <w:widowControl w:val="0"/>
              <w:jc w:val="both"/>
              <w:rPr>
                <w:lang w:eastAsia="zh-CN"/>
              </w:rPr>
            </w:pPr>
          </w:p>
        </w:tc>
        <w:tc>
          <w:tcPr>
            <w:tcW w:w="3417" w:type="dxa"/>
          </w:tcPr>
          <w:p w14:paraId="1AE8ECD6">
            <w:pPr>
              <w:widowControl w:val="0"/>
              <w:numPr>
                <w:ilvl w:val="0"/>
                <w:numId w:val="6"/>
              </w:num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邮件告警通道实现模块</w:t>
            </w:r>
          </w:p>
        </w:tc>
        <w:tc>
          <w:tcPr>
            <w:tcW w:w="1509" w:type="dxa"/>
            <w:vAlign w:val="top"/>
          </w:tcPr>
          <w:p w14:paraId="74D28C9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val="en-US"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4C68FF5C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343A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29BAE042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  <w:vMerge w:val="continue"/>
          </w:tcPr>
          <w:p w14:paraId="013A0970">
            <w:pPr>
              <w:widowControl w:val="0"/>
              <w:jc w:val="both"/>
              <w:rPr>
                <w:lang w:eastAsia="zh-CN"/>
              </w:rPr>
            </w:pPr>
          </w:p>
        </w:tc>
        <w:tc>
          <w:tcPr>
            <w:tcW w:w="3417" w:type="dxa"/>
          </w:tcPr>
          <w:p w14:paraId="2A88CFC7">
            <w:pPr>
              <w:widowControl w:val="0"/>
              <w:numPr>
                <w:ilvl w:val="0"/>
                <w:numId w:val="6"/>
              </w:num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企业微信告警通道实现模块</w:t>
            </w:r>
          </w:p>
        </w:tc>
        <w:tc>
          <w:tcPr>
            <w:tcW w:w="1509" w:type="dxa"/>
            <w:vAlign w:val="top"/>
          </w:tcPr>
          <w:p w14:paraId="5D97C0B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val="en-US" w:eastAsia="zh-CN"/>
              </w:rPr>
              <w:t>11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21C8ED09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00AC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35AD0339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  <w:vMerge w:val="continue"/>
          </w:tcPr>
          <w:p w14:paraId="496179D3">
            <w:pPr>
              <w:widowControl w:val="0"/>
              <w:jc w:val="both"/>
              <w:rPr>
                <w:lang w:eastAsia="zh-CN"/>
              </w:rPr>
            </w:pPr>
          </w:p>
        </w:tc>
        <w:tc>
          <w:tcPr>
            <w:tcW w:w="3417" w:type="dxa"/>
          </w:tcPr>
          <w:p w14:paraId="3B8B5E82">
            <w:pPr>
              <w:widowControl w:val="0"/>
              <w:numPr>
                <w:ilvl w:val="0"/>
                <w:numId w:val="6"/>
              </w:num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手机告警通道实现模块</w:t>
            </w:r>
          </w:p>
        </w:tc>
        <w:tc>
          <w:tcPr>
            <w:tcW w:w="1509" w:type="dxa"/>
            <w:vAlign w:val="top"/>
          </w:tcPr>
          <w:p w14:paraId="6CB5664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 w:eastAsiaTheme="minorEastAsia"/>
                <w:lang w:eastAsia="zh-CN"/>
              </w:rPr>
              <w:t>1</w:t>
            </w:r>
            <w:r>
              <w:rPr>
                <w:rFonts w:hint="eastAsia" w:eastAsiaTheme="minor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509" w:type="dxa"/>
          </w:tcPr>
          <w:p w14:paraId="0622D0A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B1E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837" w:type="dxa"/>
          </w:tcPr>
          <w:p w14:paraId="675102A2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</w:tcPr>
          <w:p w14:paraId="29DEFF4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上线试运行</w:t>
            </w:r>
          </w:p>
        </w:tc>
        <w:tc>
          <w:tcPr>
            <w:tcW w:w="3417" w:type="dxa"/>
          </w:tcPr>
          <w:p w14:paraId="6AF35653">
            <w:pPr>
              <w:widowControl w:val="0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测试完成后，首先在交付部试运行</w:t>
            </w:r>
          </w:p>
        </w:tc>
        <w:tc>
          <w:tcPr>
            <w:tcW w:w="1509" w:type="dxa"/>
            <w:vAlign w:val="top"/>
          </w:tcPr>
          <w:p w14:paraId="144395B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lang w:eastAsia="zh-CN"/>
              </w:rPr>
              <w:t>年</w:t>
            </w:r>
            <w:r>
              <w:rPr>
                <w:rFonts w:hint="eastAsia" w:eastAsiaTheme="minorEastAsia"/>
                <w:lang w:eastAsia="zh-CN"/>
              </w:rPr>
              <w:t>1</w:t>
            </w:r>
            <w:r>
              <w:rPr>
                <w:rFonts w:hint="eastAsia" w:eastAsiaTheme="minorEastAsia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lang w:eastAsia="zh-CN"/>
              </w:rPr>
              <w:t>月</w:t>
            </w:r>
          </w:p>
        </w:tc>
        <w:tc>
          <w:tcPr>
            <w:tcW w:w="1509" w:type="dxa"/>
          </w:tcPr>
          <w:p w14:paraId="7FD2F56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1E3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837" w:type="dxa"/>
          </w:tcPr>
          <w:p w14:paraId="34317C99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</w:pPr>
          </w:p>
        </w:tc>
        <w:tc>
          <w:tcPr>
            <w:tcW w:w="1799" w:type="dxa"/>
          </w:tcPr>
          <w:p w14:paraId="6985DBB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BUG修复功能完善</w:t>
            </w:r>
          </w:p>
        </w:tc>
        <w:tc>
          <w:tcPr>
            <w:tcW w:w="3417" w:type="dxa"/>
          </w:tcPr>
          <w:p w14:paraId="4F4BB98D">
            <w:pPr>
              <w:widowControl w:val="0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修复使用过程中发现的BUG</w:t>
            </w:r>
          </w:p>
        </w:tc>
        <w:tc>
          <w:tcPr>
            <w:tcW w:w="1509" w:type="dxa"/>
            <w:vAlign w:val="top"/>
          </w:tcPr>
          <w:p w14:paraId="271A328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  <w:r>
              <w:rPr>
                <w:rFonts w:hint="eastAsia" w:ascii="宋体" w:hAnsi="宋体" w:eastAsia="宋体" w:cs="宋体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lang w:eastAsia="zh-CN"/>
              </w:rPr>
              <w:t>月</w:t>
            </w:r>
          </w:p>
        </w:tc>
        <w:tc>
          <w:tcPr>
            <w:tcW w:w="1509" w:type="dxa"/>
          </w:tcPr>
          <w:p w14:paraId="33118338">
            <w:pPr>
              <w:widowControl w:val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55E0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5943029A">
            <w:pPr>
              <w:pStyle w:val="29"/>
              <w:widowControl w:val="0"/>
              <w:numPr>
                <w:ilvl w:val="0"/>
                <w:numId w:val="2"/>
              </w:numPr>
              <w:ind w:firstLineChars="0"/>
              <w:jc w:val="both"/>
              <w:rPr>
                <w:szCs w:val="24"/>
              </w:rPr>
            </w:pPr>
          </w:p>
        </w:tc>
        <w:tc>
          <w:tcPr>
            <w:tcW w:w="1799" w:type="dxa"/>
          </w:tcPr>
          <w:p w14:paraId="7AC7BEE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回归测试正式上线</w:t>
            </w:r>
          </w:p>
        </w:tc>
        <w:tc>
          <w:tcPr>
            <w:tcW w:w="3417" w:type="dxa"/>
          </w:tcPr>
          <w:p w14:paraId="5BF4D3BA">
            <w:pPr>
              <w:widowControl w:val="0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BUG修复并验证后正式上线</w:t>
            </w:r>
          </w:p>
        </w:tc>
        <w:tc>
          <w:tcPr>
            <w:tcW w:w="1509" w:type="dxa"/>
            <w:vAlign w:val="top"/>
          </w:tcPr>
          <w:p w14:paraId="5A6B7EF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 w:ascii="Arial" w:hAnsi="Arial" w:eastAsia="Arial" w:cs="Arial"/>
                <w:lang w:eastAsia="zh-CN"/>
              </w:rPr>
              <w:t>2026年</w:t>
            </w:r>
            <w:r>
              <w:rPr>
                <w:rFonts w:hint="eastAsia" w:ascii="Arial" w:hAnsi="Arial" w:eastAsia="Arial" w:cs="Arial"/>
                <w:lang w:val="en-US" w:eastAsia="zh-CN"/>
              </w:rPr>
              <w:t>2</w:t>
            </w:r>
            <w:r>
              <w:rPr>
                <w:rFonts w:hint="eastAsia" w:ascii="Arial" w:hAnsi="Arial" w:eastAsia="Arial" w:cs="Arial"/>
                <w:lang w:eastAsia="zh-CN"/>
              </w:rPr>
              <w:t>月</w:t>
            </w:r>
          </w:p>
        </w:tc>
        <w:tc>
          <w:tcPr>
            <w:tcW w:w="1509" w:type="dxa"/>
          </w:tcPr>
          <w:p w14:paraId="68F3390D">
            <w:pPr>
              <w:widowControl w:val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未开始</w:t>
            </w:r>
          </w:p>
        </w:tc>
      </w:tr>
    </w:tbl>
    <w:p w14:paraId="21C2F862">
      <w:pPr>
        <w:widowControl w:val="0"/>
        <w:rPr>
          <w:lang w:eastAsia="zh-CN"/>
        </w:rPr>
      </w:pPr>
      <w:r>
        <w:rPr>
          <w:lang w:eastAsia="zh-CN"/>
        </w:rPr>
        <w:br w:type="page"/>
      </w:r>
    </w:p>
    <w:p w14:paraId="4FBF81F8">
      <w:pPr>
        <w:pStyle w:val="30"/>
        <w:keepNext w:val="0"/>
        <w:keepLines w:val="0"/>
        <w:widowControl w:val="0"/>
        <w:rPr>
          <w:lang w:eastAsia="zh-CN"/>
        </w:rPr>
      </w:pPr>
      <w:bookmarkStart w:id="5" w:name="_Toc885"/>
      <w:r>
        <w:rPr>
          <w:rFonts w:hint="eastAsia"/>
          <w:lang w:eastAsia="zh-CN"/>
        </w:rPr>
        <w:t>研发成果</w:t>
      </w:r>
      <w:bookmarkEnd w:id="5"/>
    </w:p>
    <w:p w14:paraId="00E9F40B">
      <w:pPr>
        <w:pStyle w:val="31"/>
        <w:keepNext w:val="0"/>
        <w:keepLines w:val="0"/>
        <w:widowControl w:val="0"/>
        <w:ind w:firstLine="474"/>
        <w:rPr>
          <w:rFonts w:hint="eastAsia"/>
          <w:lang w:eastAsia="zh-CN"/>
        </w:rPr>
      </w:pPr>
      <w:bookmarkStart w:id="6" w:name="_Toc20434"/>
      <w:r>
        <w:rPr>
          <w:rFonts w:hint="eastAsia"/>
          <w:lang w:eastAsia="zh-CN"/>
        </w:rPr>
        <w:t>概述</w:t>
      </w:r>
      <w:bookmarkEnd w:id="6"/>
    </w:p>
    <w:p w14:paraId="2A440185">
      <w:pPr>
        <w:pStyle w:val="29"/>
        <w:widowControl w:val="0"/>
        <w:ind w:firstLine="480"/>
      </w:pPr>
      <w:r>
        <w:rPr>
          <w:rFonts w:hint="eastAsia"/>
        </w:rPr>
        <w:t>随着我公司运维业务的不断扩展，运维环境日趋复杂，传统运维方式在响应速度和可靠性方面已难以满足需求。因此，我公司自2025年7月起，在现有运维工具基础上，重点投入运维技术的研发与升级，并同步完善技术手册体系，取得了一定成果，有效提升了响应速度、扩大了运维覆盖范围、提高了工作效率，减少了故障发生。</w:t>
      </w:r>
    </w:p>
    <w:p w14:paraId="0DFB15A6">
      <w:pPr>
        <w:pStyle w:val="31"/>
        <w:keepNext w:val="0"/>
        <w:keepLines w:val="0"/>
        <w:widowControl w:val="0"/>
        <w:ind w:firstLine="474"/>
        <w:rPr>
          <w:rFonts w:hint="eastAsia"/>
          <w:lang w:eastAsia="zh-CN"/>
        </w:rPr>
      </w:pPr>
      <w:bookmarkStart w:id="7" w:name="_Toc30109"/>
      <w:r>
        <w:rPr>
          <w:rFonts w:hint="eastAsia"/>
          <w:lang w:eastAsia="zh-CN"/>
        </w:rPr>
        <w:t>成果说明</w:t>
      </w:r>
      <w:bookmarkEnd w:id="7"/>
    </w:p>
    <w:p w14:paraId="747A4779">
      <w:pPr>
        <w:pStyle w:val="29"/>
        <w:widowControl w:val="0"/>
        <w:ind w:firstLine="480"/>
      </w:pPr>
      <w:r>
        <w:t>根据研发规划，工具研发实现了对Prometheus+Grafana监控系统的功能扩展与升级。该系统作为一个监控仪表平台，能够帮助用户降低监控复杂度，只需提供待监控数据即可生成多种可视化仪表。截至2025年1</w:t>
      </w:r>
      <w:r>
        <w:rPr>
          <w:rFonts w:hint="eastAsia"/>
        </w:rPr>
        <w:t>2</w:t>
      </w:r>
      <w:r>
        <w:t>月，已完成了邮件告警</w:t>
      </w:r>
      <w:r>
        <w:rPr>
          <w:rFonts w:hint="eastAsia"/>
        </w:rPr>
        <w:t>、</w:t>
      </w:r>
      <w:r>
        <w:t>企业微信告警</w:t>
      </w:r>
      <w:r>
        <w:rPr>
          <w:rFonts w:hint="eastAsia"/>
        </w:rPr>
        <w:t>和手机告警</w:t>
      </w:r>
      <w:r>
        <w:t>功能的研发与实现。</w:t>
      </w:r>
    </w:p>
    <w:p w14:paraId="1214DE10">
      <w:pPr>
        <w:pStyle w:val="31"/>
        <w:keepNext w:val="0"/>
        <w:keepLines w:val="0"/>
        <w:widowControl w:val="0"/>
        <w:ind w:firstLine="474"/>
        <w:rPr>
          <w:rFonts w:hint="eastAsia"/>
          <w:lang w:eastAsia="zh-CN"/>
        </w:rPr>
      </w:pPr>
      <w:bookmarkStart w:id="8" w:name="_Toc31558"/>
      <w:r>
        <w:rPr>
          <w:rFonts w:hint="eastAsia"/>
          <w:lang w:eastAsia="zh-CN"/>
        </w:rPr>
        <w:t>研发计划完成情况</w:t>
      </w:r>
      <w:bookmarkEnd w:id="8"/>
    </w:p>
    <w:p w14:paraId="4597D9AA">
      <w:pPr>
        <w:pStyle w:val="29"/>
        <w:widowControl w:val="0"/>
        <w:ind w:firstLine="480"/>
      </w:pPr>
      <w:r>
        <w:rPr>
          <w:rFonts w:hint="eastAsia"/>
        </w:rPr>
        <w:t>截止2025年12月，按时完成研发任务，正式投入使用，研发进度完成情况如表1-2所示。</w:t>
      </w:r>
    </w:p>
    <w:p w14:paraId="6D861E08">
      <w:pPr>
        <w:pStyle w:val="40"/>
        <w:widowControl w:val="0"/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Prometheus+Grafana 监控系统进行功能扩展进度</w:t>
      </w:r>
    </w:p>
    <w:tbl>
      <w:tblPr>
        <w:tblStyle w:val="21"/>
        <w:tblpPr w:leftFromText="180" w:rightFromText="180" w:vertAnchor="text" w:horzAnchor="page" w:tblpX="1787" w:tblpY="392"/>
        <w:tblOverlap w:val="never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930"/>
        <w:gridCol w:w="3086"/>
        <w:gridCol w:w="1585"/>
        <w:gridCol w:w="1249"/>
      </w:tblGrid>
      <w:tr w14:paraId="1E995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D3AF97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1930" w:type="dxa"/>
          </w:tcPr>
          <w:p w14:paraId="6A820F7E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任务阶段</w:t>
            </w:r>
          </w:p>
        </w:tc>
        <w:tc>
          <w:tcPr>
            <w:tcW w:w="3086" w:type="dxa"/>
          </w:tcPr>
          <w:p w14:paraId="1A9941DF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任务内容</w:t>
            </w:r>
          </w:p>
        </w:tc>
        <w:tc>
          <w:tcPr>
            <w:tcW w:w="1585" w:type="dxa"/>
          </w:tcPr>
          <w:p w14:paraId="0480CD79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计划时间</w:t>
            </w:r>
          </w:p>
        </w:tc>
        <w:tc>
          <w:tcPr>
            <w:tcW w:w="1249" w:type="dxa"/>
          </w:tcPr>
          <w:p w14:paraId="5C575D0B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完成情况</w:t>
            </w:r>
          </w:p>
        </w:tc>
      </w:tr>
      <w:tr w14:paraId="761B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7ABCBDB4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35C6934F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项目规划</w:t>
            </w:r>
          </w:p>
        </w:tc>
        <w:tc>
          <w:tcPr>
            <w:tcW w:w="3086" w:type="dxa"/>
          </w:tcPr>
          <w:p w14:paraId="1E0E0D5A">
            <w:pPr>
              <w:widowControl w:val="0"/>
              <w:numPr>
                <w:ilvl w:val="0"/>
                <w:numId w:val="3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项目相关人员沟通，进行相关技术调研及预演；</w:t>
            </w:r>
          </w:p>
          <w:p w14:paraId="1C22EC65">
            <w:pPr>
              <w:widowControl w:val="0"/>
              <w:numPr>
                <w:ilvl w:val="0"/>
                <w:numId w:val="3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编写项目规划</w:t>
            </w:r>
          </w:p>
        </w:tc>
        <w:tc>
          <w:tcPr>
            <w:tcW w:w="1585" w:type="dxa"/>
            <w:vAlign w:val="top"/>
          </w:tcPr>
          <w:p w14:paraId="02D3A919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0D0AE5B9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6B25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D29A37C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61717C13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需求分析</w:t>
            </w:r>
          </w:p>
        </w:tc>
        <w:tc>
          <w:tcPr>
            <w:tcW w:w="3086" w:type="dxa"/>
          </w:tcPr>
          <w:p w14:paraId="59B1CF4D">
            <w:pPr>
              <w:widowControl w:val="0"/>
              <w:numPr>
                <w:ilvl w:val="0"/>
                <w:numId w:val="4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调研用户需求及相关行业产品，形成优化需求说明</w:t>
            </w:r>
          </w:p>
        </w:tc>
        <w:tc>
          <w:tcPr>
            <w:tcW w:w="1585" w:type="dxa"/>
            <w:vAlign w:val="top"/>
          </w:tcPr>
          <w:p w14:paraId="156A941E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34C0FFE4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0ACA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DC9665E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5268D53A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项目筹划、设计</w:t>
            </w:r>
          </w:p>
        </w:tc>
        <w:tc>
          <w:tcPr>
            <w:tcW w:w="3086" w:type="dxa"/>
          </w:tcPr>
          <w:p w14:paraId="1AC8EAF0">
            <w:pPr>
              <w:widowControl w:val="0"/>
              <w:numPr>
                <w:ilvl w:val="0"/>
                <w:numId w:val="5"/>
              </w:numPr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组建小组；</w:t>
            </w:r>
          </w:p>
          <w:p w14:paraId="28E9BD00">
            <w:pPr>
              <w:widowControl w:val="0"/>
              <w:numPr>
                <w:ilvl w:val="0"/>
                <w:numId w:val="5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完成系统设计方案编制；</w:t>
            </w:r>
          </w:p>
          <w:p w14:paraId="2A046B3D">
            <w:pPr>
              <w:widowControl w:val="0"/>
              <w:numPr>
                <w:ilvl w:val="0"/>
                <w:numId w:val="5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规划评审，评审通过后进行立项；</w:t>
            </w:r>
          </w:p>
        </w:tc>
        <w:tc>
          <w:tcPr>
            <w:tcW w:w="1585" w:type="dxa"/>
            <w:vAlign w:val="top"/>
          </w:tcPr>
          <w:p w14:paraId="0692CC85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48BCB720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637C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051E9FFF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  <w:vMerge w:val="restart"/>
          </w:tcPr>
          <w:p w14:paraId="02ECA686">
            <w:pPr>
              <w:pStyle w:val="29"/>
              <w:widowControl w:val="0"/>
              <w:ind w:firstLine="0" w:firstLineChars="0"/>
              <w:jc w:val="center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开发、测试</w:t>
            </w:r>
          </w:p>
        </w:tc>
        <w:tc>
          <w:tcPr>
            <w:tcW w:w="3086" w:type="dxa"/>
          </w:tcPr>
          <w:p w14:paraId="4BBD0E96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告警规则配置后台维护</w:t>
            </w:r>
          </w:p>
        </w:tc>
        <w:tc>
          <w:tcPr>
            <w:tcW w:w="1585" w:type="dxa"/>
            <w:vAlign w:val="top"/>
          </w:tcPr>
          <w:p w14:paraId="2EE57B45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34B6CA54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34AF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3998185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730AA0BB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79C528D5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Alertmanager集成与配置中心模块</w:t>
            </w:r>
          </w:p>
        </w:tc>
        <w:tc>
          <w:tcPr>
            <w:tcW w:w="1585" w:type="dxa"/>
            <w:vAlign w:val="top"/>
          </w:tcPr>
          <w:p w14:paraId="1BBC59CF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23CE195E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291D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AB189A6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67FA879C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11315181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邮件告警通道实现模块</w:t>
            </w:r>
          </w:p>
        </w:tc>
        <w:tc>
          <w:tcPr>
            <w:tcW w:w="1585" w:type="dxa"/>
            <w:vAlign w:val="top"/>
          </w:tcPr>
          <w:p w14:paraId="2C106F92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val="en-US"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0D95063D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07B3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AEC5EAF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38F95450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50245AC0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企业微信告警通道实现模块</w:t>
            </w:r>
          </w:p>
        </w:tc>
        <w:tc>
          <w:tcPr>
            <w:tcW w:w="1585" w:type="dxa"/>
            <w:vAlign w:val="top"/>
          </w:tcPr>
          <w:p w14:paraId="1DBA61DA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val="en-US" w:eastAsia="zh-CN"/>
              </w:rPr>
              <w:t>11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1248A377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224D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9B3C78D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20FB3B0D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6115187E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手机告警通道实现模块</w:t>
            </w:r>
          </w:p>
        </w:tc>
        <w:tc>
          <w:tcPr>
            <w:tcW w:w="1585" w:type="dxa"/>
            <w:vAlign w:val="top"/>
          </w:tcPr>
          <w:p w14:paraId="01599183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 w:eastAsiaTheme="minorEastAsia"/>
                <w:lang w:eastAsia="zh-CN"/>
              </w:rPr>
              <w:t>1</w:t>
            </w:r>
            <w:r>
              <w:rPr>
                <w:rFonts w:hint="eastAsia" w:eastAsiaTheme="minor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64300C1B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3358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54" w:type="dxa"/>
          </w:tcPr>
          <w:p w14:paraId="0997320A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08675552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上线试运行</w:t>
            </w:r>
          </w:p>
        </w:tc>
        <w:tc>
          <w:tcPr>
            <w:tcW w:w="3086" w:type="dxa"/>
          </w:tcPr>
          <w:p w14:paraId="7F40DA4A">
            <w:pPr>
              <w:widowControl w:val="0"/>
              <w:numPr>
                <w:ilvl w:val="0"/>
                <w:numId w:val="12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测试完成后，首先在交付部试运行</w:t>
            </w:r>
          </w:p>
        </w:tc>
        <w:tc>
          <w:tcPr>
            <w:tcW w:w="1585" w:type="dxa"/>
            <w:vAlign w:val="top"/>
          </w:tcPr>
          <w:p w14:paraId="76034F3A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lang w:eastAsia="zh-CN"/>
              </w:rPr>
              <w:t>年</w:t>
            </w:r>
            <w:r>
              <w:rPr>
                <w:rFonts w:hint="eastAsia" w:eastAsiaTheme="minorEastAsia"/>
                <w:lang w:eastAsia="zh-CN"/>
              </w:rPr>
              <w:t>1</w:t>
            </w:r>
            <w:r>
              <w:rPr>
                <w:rFonts w:hint="eastAsia" w:eastAsiaTheme="minorEastAsia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lang w:eastAsia="zh-CN"/>
              </w:rPr>
              <w:t>月</w:t>
            </w:r>
          </w:p>
        </w:tc>
        <w:tc>
          <w:tcPr>
            <w:tcW w:w="1249" w:type="dxa"/>
          </w:tcPr>
          <w:p w14:paraId="78035822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5ABE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654" w:type="dxa"/>
          </w:tcPr>
          <w:p w14:paraId="7733D37D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1A4569E2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BUG修复功能完善</w:t>
            </w:r>
          </w:p>
        </w:tc>
        <w:tc>
          <w:tcPr>
            <w:tcW w:w="3086" w:type="dxa"/>
          </w:tcPr>
          <w:p w14:paraId="73FBC629">
            <w:pPr>
              <w:widowControl w:val="0"/>
              <w:numPr>
                <w:ilvl w:val="0"/>
                <w:numId w:val="13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修复使用过程中发现的BUG</w:t>
            </w:r>
          </w:p>
        </w:tc>
        <w:tc>
          <w:tcPr>
            <w:tcW w:w="1585" w:type="dxa"/>
            <w:vAlign w:val="top"/>
          </w:tcPr>
          <w:p w14:paraId="1CEE028A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  <w:r>
              <w:rPr>
                <w:rFonts w:hint="eastAsia" w:ascii="宋体" w:hAnsi="宋体" w:eastAsia="宋体" w:cs="宋体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lang w:eastAsia="zh-CN"/>
              </w:rPr>
              <w:t>月</w:t>
            </w:r>
          </w:p>
        </w:tc>
        <w:tc>
          <w:tcPr>
            <w:tcW w:w="1249" w:type="dxa"/>
          </w:tcPr>
          <w:p w14:paraId="71E4347B">
            <w:pPr>
              <w:widowControl w:val="0"/>
              <w:jc w:val="both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未开始</w:t>
            </w:r>
          </w:p>
        </w:tc>
      </w:tr>
      <w:tr w14:paraId="494C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305BA35">
            <w:pPr>
              <w:pStyle w:val="29"/>
              <w:widowControl w:val="0"/>
              <w:numPr>
                <w:ilvl w:val="0"/>
                <w:numId w:val="10"/>
              </w:numPr>
              <w:ind w:firstLineChars="0"/>
              <w:jc w:val="both"/>
              <w:rPr>
                <w:szCs w:val="24"/>
              </w:rPr>
            </w:pPr>
          </w:p>
        </w:tc>
        <w:tc>
          <w:tcPr>
            <w:tcW w:w="1930" w:type="dxa"/>
          </w:tcPr>
          <w:p w14:paraId="1DC568B6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回归测试正式上线</w:t>
            </w:r>
          </w:p>
        </w:tc>
        <w:tc>
          <w:tcPr>
            <w:tcW w:w="3086" w:type="dxa"/>
          </w:tcPr>
          <w:p w14:paraId="394EBF59">
            <w:pPr>
              <w:widowControl w:val="0"/>
              <w:numPr>
                <w:ilvl w:val="0"/>
                <w:numId w:val="14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BUG修复并验证后正式上线</w:t>
            </w:r>
          </w:p>
        </w:tc>
        <w:tc>
          <w:tcPr>
            <w:tcW w:w="1585" w:type="dxa"/>
            <w:vAlign w:val="top"/>
          </w:tcPr>
          <w:p w14:paraId="1D0F79C6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Arial" w:hAnsi="Arial" w:eastAsia="Arial" w:cs="Arial"/>
                <w:lang w:eastAsia="zh-CN"/>
              </w:rPr>
              <w:t>2026年</w:t>
            </w:r>
            <w:r>
              <w:rPr>
                <w:rFonts w:hint="eastAsia" w:ascii="Arial" w:hAnsi="Arial" w:eastAsia="Arial" w:cs="Arial"/>
                <w:lang w:val="en-US" w:eastAsia="zh-CN"/>
              </w:rPr>
              <w:t>2</w:t>
            </w:r>
            <w:r>
              <w:rPr>
                <w:rFonts w:hint="eastAsia" w:ascii="Arial" w:hAnsi="Arial" w:eastAsia="Arial" w:cs="Arial"/>
                <w:lang w:eastAsia="zh-CN"/>
              </w:rPr>
              <w:t>月</w:t>
            </w:r>
          </w:p>
        </w:tc>
        <w:tc>
          <w:tcPr>
            <w:tcW w:w="1249" w:type="dxa"/>
          </w:tcPr>
          <w:p w14:paraId="75BF5C7F">
            <w:pPr>
              <w:widowControl w:val="0"/>
              <w:jc w:val="both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未开始</w:t>
            </w:r>
          </w:p>
        </w:tc>
      </w:tr>
    </w:tbl>
    <w:p w14:paraId="11AB46E0">
      <w:pPr>
        <w:pStyle w:val="30"/>
        <w:keepNext w:val="0"/>
        <w:keepLines w:val="0"/>
        <w:widowControl w:val="0"/>
        <w:rPr>
          <w:lang w:eastAsia="zh-CN"/>
        </w:rPr>
      </w:pPr>
      <w:bookmarkStart w:id="9" w:name="_Toc32287"/>
      <w:r>
        <w:rPr>
          <w:rFonts w:hint="eastAsia"/>
          <w:lang w:eastAsia="zh-CN"/>
        </w:rPr>
        <w:t>模块完成情况</w:t>
      </w:r>
      <w:bookmarkEnd w:id="9"/>
    </w:p>
    <w:p w14:paraId="72CAB745">
      <w:pPr>
        <w:pStyle w:val="31"/>
        <w:keepNext w:val="0"/>
        <w:keepLines w:val="0"/>
        <w:widowControl w:val="0"/>
        <w:ind w:firstLine="474"/>
        <w:rPr>
          <w:rFonts w:hint="eastAsia"/>
          <w:lang w:eastAsia="zh-CN"/>
        </w:rPr>
      </w:pPr>
      <w:bookmarkStart w:id="10" w:name="_Toc3914"/>
      <w:r>
        <w:rPr>
          <w:rFonts w:hint="eastAsia"/>
          <w:lang w:eastAsia="zh-CN"/>
        </w:rPr>
        <w:t>邮件告警实现</w:t>
      </w:r>
      <w:bookmarkEnd w:id="10"/>
    </w:p>
    <w:p w14:paraId="65E5BF3C">
      <w:pPr>
        <w:pStyle w:val="29"/>
        <w:ind w:firstLine="480"/>
      </w:pPr>
      <w:r>
        <w:rPr>
          <w:rFonts w:hint="eastAsia"/>
          <w:lang w:val="en-US" w:eastAsia="zh-CN"/>
        </w:rPr>
        <w:t>需要</w:t>
      </w:r>
      <w:r>
        <w:rPr>
          <w:rFonts w:hint="eastAsia"/>
        </w:rPr>
        <w:t>安装 Alertmanager，这里由于邮件发送比较简单，因此这里我就直接贴配置了，其中带有 xxx 字符的参数是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要根据状况进行更改的。下面的企业微信告警同理。</w:t>
      </w:r>
    </w:p>
    <w:p w14:paraId="39E653AA">
      <w:pPr>
        <w:pStyle w:val="29"/>
        <w:ind w:firstLine="480"/>
      </w:pPr>
      <w:r>
        <w:rPr>
          <w:rFonts w:hint="eastAsia"/>
        </w:rPr>
        <w:t>Yml文件配置规则如下：</w:t>
      </w:r>
    </w:p>
    <w:p w14:paraId="542465B1">
      <w:pPr>
        <w:pStyle w:val="29"/>
        <w:numPr>
          <w:ilvl w:val="0"/>
          <w:numId w:val="15"/>
        </w:numPr>
        <w:ind w:firstLineChars="0"/>
      </w:pPr>
      <w:r>
        <w:rPr>
          <w:rFonts w:hint="eastAsia"/>
        </w:rPr>
        <w:t>global: 全局配置，包括报警解决后的超时时间、SMTP 相关配置、各种渠道通知的 API 地址等等。</w:t>
      </w:r>
    </w:p>
    <w:p w14:paraId="135E1557">
      <w:pPr>
        <w:pStyle w:val="29"/>
        <w:numPr>
          <w:ilvl w:val="0"/>
          <w:numId w:val="15"/>
        </w:numPr>
        <w:ind w:firstLineChars="0"/>
      </w:pPr>
      <w:r>
        <w:rPr>
          <w:rFonts w:hint="eastAsia"/>
        </w:rPr>
        <w:t>route: 用来设置报警的分发策略，它是一个树状结构，按照深度优先从左向右的顺序进行匹配。</w:t>
      </w:r>
    </w:p>
    <w:p w14:paraId="1B655C83">
      <w:pPr>
        <w:pStyle w:val="29"/>
        <w:numPr>
          <w:ilvl w:val="0"/>
          <w:numId w:val="15"/>
        </w:numPr>
        <w:ind w:firstLineChars="0"/>
      </w:pPr>
      <w:r>
        <w:rPr>
          <w:rFonts w:hint="eastAsia"/>
        </w:rPr>
        <w:t>receivers: 配置告警消息接受者信息，例如常用的 email、wechat、slack、webhook 等消息通知方式。</w:t>
      </w:r>
    </w:p>
    <w:p w14:paraId="1A9AC005">
      <w:pPr>
        <w:pStyle w:val="29"/>
        <w:numPr>
          <w:ilvl w:val="0"/>
          <w:numId w:val="15"/>
        </w:numPr>
        <w:ind w:firstLineChars="0"/>
      </w:pPr>
      <w:r>
        <w:rPr>
          <w:rFonts w:hint="eastAsia"/>
        </w:rPr>
        <w:t>inhibit_rules: 抑制规则配置，当存在与另一组匹配的警报（源）时，抑制规则将禁用与一组匹配的警报（目标）。</w:t>
      </w:r>
    </w:p>
    <w:p w14:paraId="3DC53CA9">
      <w:pPr>
        <w:widowControl w:val="0"/>
        <w:ind w:firstLine="480" w:firstLineChars="200"/>
        <w:jc w:val="both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Alertmanagers 服务的 alertmanager.yml 的配置以下:</w:t>
      </w:r>
    </w:p>
    <w:p w14:paraId="52B4E5C0">
      <w:pPr>
        <w:pStyle w:val="43"/>
        <w:widowControl w:val="0"/>
        <w:ind w:firstLine="400"/>
        <w:rPr>
          <w:rFonts w:hint="eastAsia" w:ascii="宋体" w:hAnsi="宋体" w:cs="宋体"/>
          <w:sz w:val="24"/>
          <w:szCs w:val="24"/>
        </w:rPr>
      </w:pPr>
      <w:r>
        <w:rPr>
          <w:rFonts w:ascii="Times New Roman"/>
          <w:sz w:val="20"/>
        </w:rPr>
        <w:pict>
          <v:shape id="_x0000_s2051" o:spid="_x0000_s2051" o:spt="202" type="#_x0000_t202" style="height:646.45pt;width:425pt;" fillcolor="#F5F5F5" filled="t" coordsize="21600,21600">
            <v:path/>
            <v:fill on="t" focussize="0,0"/>
            <v:stroke joinstyle="miter"/>
            <v:imagedata o:title=""/>
            <o:lock v:ext="edit"/>
            <v:textbox inset="0mm,0mm,0mm,0mm">
              <w:txbxContent>
                <w:p w14:paraId="2B92252E">
                  <w:pPr>
                    <w:pStyle w:val="12"/>
                    <w:spacing w:before="174" w:line="528" w:lineRule="auto"/>
                    <w:ind w:left="319" w:right="5952" w:hanging="231"/>
                  </w:pPr>
                  <w:r>
                    <w:rPr>
                      <w:color w:val="333333"/>
                    </w:rPr>
                    <w:t>global: resolve_timeout: 5m</w:t>
                  </w:r>
                </w:p>
                <w:p w14:paraId="20A921C4">
                  <w:pPr>
                    <w:pStyle w:val="12"/>
                    <w:spacing w:line="528" w:lineRule="auto"/>
                    <w:ind w:left="319" w:right="4336"/>
                  </w:pPr>
                  <w:r>
                    <w:rPr>
                      <w:color w:val="333333"/>
                    </w:rPr>
                    <w:t>smtp_from: 'xxx@qq.com' smtp_smarthost: 'smtp.qq.com:465' smtp_auth_username: 'xxx@qq.com' smtp_auth_password: 'xxx' smtp_require_tls: false smtp_hello: 'qq.com'</w:t>
                  </w:r>
                </w:p>
                <w:p w14:paraId="13812932">
                  <w:pPr>
                    <w:pStyle w:val="12"/>
                    <w:spacing w:line="241" w:lineRule="exact"/>
                    <w:ind w:left="88"/>
                  </w:pPr>
                  <w:r>
                    <w:rPr>
                      <w:color w:val="333333"/>
                    </w:rPr>
                    <w:t>route:</w:t>
                  </w:r>
                </w:p>
                <w:p w14:paraId="5D161BD9">
                  <w:pPr>
                    <w:pStyle w:val="12"/>
                    <w:spacing w:line="540" w:lineRule="atLeast"/>
                    <w:ind w:left="319" w:right="5491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>group_by: ['alertname'] group_wait: 5s</w:t>
                  </w:r>
                </w:p>
                <w:p w14:paraId="34372A43">
                  <w:pPr>
                    <w:pStyle w:val="12"/>
                    <w:spacing w:before="174" w:line="528" w:lineRule="auto"/>
                    <w:ind w:left="319" w:right="5952"/>
                  </w:pPr>
                  <w:r>
                    <w:rPr>
                      <w:color w:val="333333"/>
                    </w:rPr>
                    <w:t>repeat_interval: 5m receiver: 'email'</w:t>
                  </w:r>
                </w:p>
                <w:p w14:paraId="435D2701">
                  <w:pPr>
                    <w:pStyle w:val="12"/>
                    <w:spacing w:line="243" w:lineRule="exact"/>
                    <w:ind w:left="88"/>
                  </w:pPr>
                  <w:r>
                    <w:rPr>
                      <w:color w:val="333333"/>
                    </w:rPr>
                    <w:t>receivers:</w:t>
                  </w:r>
                </w:p>
                <w:p w14:paraId="67AE22F5">
                  <w:pPr>
                    <w:pStyle w:val="12"/>
                    <w:spacing w:before="7"/>
                    <w:rPr>
                      <w:rFonts w:ascii="Times New Roman"/>
                      <w:sz w:val="25"/>
                    </w:rPr>
                  </w:pPr>
                </w:p>
                <w:p w14:paraId="1E8009CA">
                  <w:pPr>
                    <w:pStyle w:val="12"/>
                    <w:numPr>
                      <w:ilvl w:val="0"/>
                      <w:numId w:val="16"/>
                    </w:numPr>
                    <w:tabs>
                      <w:tab w:val="left" w:pos="320"/>
                    </w:tabs>
                    <w:spacing w:line="528" w:lineRule="auto"/>
                    <w:ind w:right="6549"/>
                  </w:pPr>
                  <w:r>
                    <w:rPr>
                      <w:color w:val="333333"/>
                    </w:rPr>
                    <w:t xml:space="preserve">name: 'email' </w:t>
                  </w:r>
                  <w:r>
                    <w:rPr>
                      <w:color w:val="333333"/>
                      <w:spacing w:val="-1"/>
                    </w:rPr>
                    <w:t>email_configs:</w:t>
                  </w:r>
                </w:p>
                <w:p w14:paraId="31045CBB">
                  <w:pPr>
                    <w:pStyle w:val="12"/>
                    <w:numPr>
                      <w:ilvl w:val="1"/>
                      <w:numId w:val="16"/>
                    </w:numPr>
                    <w:tabs>
                      <w:tab w:val="left" w:pos="550"/>
                    </w:tabs>
                    <w:spacing w:line="528" w:lineRule="auto"/>
                    <w:ind w:right="5739"/>
                  </w:pPr>
                  <w:r>
                    <w:rPr>
                      <w:color w:val="333333"/>
                    </w:rPr>
                    <w:t>to: 'xxx@qq.com' send_resolved:</w:t>
                  </w:r>
                  <w:r>
                    <w:rPr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</w:rPr>
                    <w:t>true</w:t>
                  </w:r>
                </w:p>
                <w:p w14:paraId="0F663D51">
                  <w:pPr>
                    <w:pStyle w:val="12"/>
                    <w:spacing w:line="244" w:lineRule="exact"/>
                    <w:ind w:left="88"/>
                  </w:pPr>
                  <w:r>
                    <w:rPr>
                      <w:color w:val="333333"/>
                    </w:rPr>
                    <w:t>inhibit_rules:</w:t>
                  </w:r>
                </w:p>
                <w:p w14:paraId="604AF58F">
                  <w:pPr>
                    <w:pStyle w:val="12"/>
                    <w:spacing w:before="5"/>
                    <w:rPr>
                      <w:rFonts w:ascii="Times New Roman"/>
                      <w:sz w:val="25"/>
                    </w:rPr>
                  </w:pPr>
                </w:p>
                <w:p w14:paraId="36BB6470">
                  <w:pPr>
                    <w:pStyle w:val="12"/>
                    <w:numPr>
                      <w:ilvl w:val="1"/>
                      <w:numId w:val="16"/>
                    </w:numPr>
                    <w:tabs>
                      <w:tab w:val="left" w:pos="550"/>
                    </w:tabs>
                    <w:spacing w:line="528" w:lineRule="auto"/>
                    <w:ind w:left="779" w:right="5394" w:hanging="461"/>
                  </w:pPr>
                  <w:r>
                    <w:rPr>
                      <w:color w:val="333333"/>
                    </w:rPr>
                    <w:t>source_match: severity:</w:t>
                  </w:r>
                  <w:r>
                    <w:rPr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color w:val="333333"/>
                    </w:rPr>
                    <w:t>'critical'</w:t>
                  </w:r>
                </w:p>
                <w:p w14:paraId="4E08EF55">
                  <w:pPr>
                    <w:pStyle w:val="12"/>
                    <w:spacing w:line="528" w:lineRule="auto"/>
                    <w:ind w:left="779" w:right="5492" w:hanging="231"/>
                  </w:pPr>
                  <w:r>
                    <w:rPr>
                      <w:color w:val="333333"/>
                    </w:rPr>
                    <w:t>target_match: severity: 'warning'</w:t>
                  </w:r>
                </w:p>
                <w:p w14:paraId="47D27721">
                  <w:pPr>
                    <w:pStyle w:val="12"/>
                    <w:spacing w:line="244" w:lineRule="exact"/>
                    <w:ind w:left="549"/>
                  </w:pPr>
                  <w:r>
                    <w:rPr>
                      <w:color w:val="333333"/>
                    </w:rPr>
                    <w:t>equal: ['alertname', 'dev', 'instance']</w:t>
                  </w:r>
                </w:p>
                <w:p w14:paraId="7031125D">
                  <w:pPr>
                    <w:pStyle w:val="12"/>
                    <w:spacing w:line="540" w:lineRule="atLeast"/>
                    <w:ind w:left="319" w:right="5491"/>
                    <w:rPr>
                      <w:color w:val="333333"/>
                    </w:rPr>
                  </w:pPr>
                </w:p>
              </w:txbxContent>
            </v:textbox>
            <w10:wrap type="none"/>
            <w10:anchorlock/>
          </v:shape>
        </w:pict>
      </w:r>
    </w:p>
    <w:p w14:paraId="00DEE619">
      <w:pPr>
        <w:pStyle w:val="43"/>
        <w:widowControl w:val="0"/>
        <w:ind w:firstLine="48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配置了 Prometheus.yml 以后，还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需</w:t>
      </w:r>
      <w:r>
        <w:rPr>
          <w:rFonts w:hint="eastAsia" w:ascii="宋体" w:hAnsi="宋体" w:cs="宋体"/>
          <w:sz w:val="24"/>
          <w:szCs w:val="24"/>
          <w:lang w:eastAsia="zh-CN"/>
        </w:rPr>
        <w:t>要配置告警的规则，也就是触发条件，达到条件以后就进行触发。新建一个 first_rules.yml，用于检测服务器挂掉的时候进行发送消息</w:t>
      </w:r>
    </w:p>
    <w:p w14:paraId="022DFD6A">
      <w:pPr>
        <w:pStyle w:val="43"/>
        <w:widowControl w:val="0"/>
        <w:ind w:firstLine="48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first_rules.yml 告警配置</w:t>
      </w:r>
    </w:p>
    <w:p w14:paraId="395F850E">
      <w:pPr>
        <w:pStyle w:val="43"/>
        <w:widowControl w:val="0"/>
        <w:ind w:firstLine="48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注:job 等于的服务名称填写 Prometheus.yml 配置对应的名称，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例如</w:t>
      </w:r>
      <w:r>
        <w:rPr>
          <w:rFonts w:hint="eastAsia" w:ascii="宋体" w:hAnsi="宋体" w:cs="宋体"/>
          <w:sz w:val="24"/>
          <w:szCs w:val="24"/>
          <w:lang w:eastAsia="zh-CN"/>
        </w:rPr>
        <w:t>这里设置的 server</w:t>
      </w:r>
    </w:p>
    <w:p w14:paraId="20803C3F">
      <w:pPr>
        <w:pStyle w:val="43"/>
        <w:widowControl w:val="0"/>
        <w:ind w:firstLine="48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对应 Prometheus.yml 配置的 server。</w:t>
      </w:r>
    </w:p>
    <w:p w14:paraId="7293F30F">
      <w:pPr>
        <w:pStyle w:val="12"/>
        <w:widowControl w:val="0"/>
        <w:ind w:left="116"/>
        <w:rPr>
          <w:rFonts w:ascii="宋体"/>
          <w:sz w:val="20"/>
        </w:rPr>
      </w:pPr>
      <w:r>
        <w:rPr>
          <w:rFonts w:ascii="宋体"/>
          <w:sz w:val="20"/>
        </w:rPr>
        <w:pict>
          <v:shape id="_x0000_s2050" o:spid="_x0000_s2050" o:spt="202" type="#_x0000_t202" style="height:260.1pt;width:425pt;" fillcolor="#F5F5F5" filled="t" coordsize="21600,21600">
            <v:path/>
            <v:fill on="t" focussize="0,0"/>
            <v:stroke joinstyle="miter"/>
            <v:imagedata o:title=""/>
            <o:lock v:ext="edit"/>
            <v:textbox inset="0mm,0mm,0mm,0mm">
              <w:txbxContent>
                <w:p w14:paraId="30E5207E">
                  <w:pPr>
                    <w:pStyle w:val="12"/>
                    <w:spacing w:before="174"/>
                    <w:ind w:left="88"/>
                  </w:pPr>
                  <w:r>
                    <w:rPr>
                      <w:color w:val="333333"/>
                    </w:rPr>
                    <w:t>groups:</w:t>
                  </w:r>
                </w:p>
                <w:p w14:paraId="611C3CF7">
                  <w:pPr>
                    <w:pStyle w:val="12"/>
                    <w:spacing w:before="12"/>
                    <w:rPr>
                      <w:rFonts w:ascii="宋体"/>
                      <w:b/>
                      <w:sz w:val="22"/>
                    </w:rPr>
                  </w:pPr>
                </w:p>
                <w:p w14:paraId="135BBC9B">
                  <w:pPr>
                    <w:pStyle w:val="12"/>
                    <w:spacing w:line="528" w:lineRule="auto"/>
                    <w:ind w:left="319" w:right="6992" w:hanging="231"/>
                  </w:pPr>
                  <w:r>
                    <w:rPr>
                      <w:color w:val="333333"/>
                    </w:rPr>
                    <w:t>- name: node rules:</w:t>
                  </w:r>
                </w:p>
                <w:p w14:paraId="415F36DD">
                  <w:pPr>
                    <w:pStyle w:val="12"/>
                    <w:spacing w:line="244" w:lineRule="exact"/>
                    <w:ind w:left="319"/>
                  </w:pPr>
                  <w:r>
                    <w:rPr>
                      <w:color w:val="333333"/>
                    </w:rPr>
                    <w:t>- alert: server_status</w:t>
                  </w:r>
                </w:p>
                <w:p w14:paraId="7CC88ABB">
                  <w:pPr>
                    <w:pStyle w:val="12"/>
                    <w:spacing w:before="12"/>
                    <w:rPr>
                      <w:rFonts w:ascii="宋体"/>
                      <w:b/>
                      <w:sz w:val="22"/>
                    </w:rPr>
                  </w:pPr>
                </w:p>
                <w:p w14:paraId="347F2EF5">
                  <w:pPr>
                    <w:pStyle w:val="12"/>
                    <w:spacing w:line="528" w:lineRule="auto"/>
                    <w:ind w:left="549" w:right="4799"/>
                  </w:pPr>
                  <w:r>
                    <w:rPr>
                      <w:color w:val="333333"/>
                    </w:rPr>
                    <w:t>expr: up{job="server"} == 0 for: 15s</w:t>
                  </w:r>
                </w:p>
                <w:p w14:paraId="0E392CC5">
                  <w:pPr>
                    <w:pStyle w:val="12"/>
                    <w:spacing w:line="244" w:lineRule="exact"/>
                    <w:ind w:left="549"/>
                  </w:pPr>
                  <w:r>
                    <w:rPr>
                      <w:color w:val="333333"/>
                    </w:rPr>
                    <w:t>annotations:</w:t>
                  </w:r>
                </w:p>
                <w:p w14:paraId="42774B25">
                  <w:pPr>
                    <w:pStyle w:val="12"/>
                    <w:spacing w:before="48" w:line="540" w:lineRule="exact"/>
                    <w:ind w:left="779" w:right="2921"/>
                  </w:pPr>
                  <w:r>
                    <w:rPr>
                      <w:color w:val="333333"/>
                    </w:rPr>
                    <w:t>summary: "</w:t>
                  </w:r>
                  <w:r>
                    <w:rPr>
                      <w:rFonts w:hint="eastAsia" w:ascii="宋体" w:eastAsia="宋体"/>
                      <w:color w:val="333333"/>
                    </w:rPr>
                    <w:t>机器</w:t>
                  </w:r>
                  <w:r>
                    <w:rPr>
                      <w:color w:val="333333"/>
                    </w:rPr>
                    <w:t xml:space="preserve">{{ $labels.instance }} </w:t>
                  </w:r>
                  <w:r>
                    <w:rPr>
                      <w:rFonts w:hint="eastAsia" w:ascii="宋体" w:eastAsia="宋体"/>
                      <w:color w:val="333333"/>
                      <w:lang w:eastAsia="zh-CN"/>
                    </w:rPr>
                    <w:t>停止运行超过15s</w:t>
                  </w:r>
                  <w:r>
                    <w:rPr>
                      <w:color w:val="333333"/>
                    </w:rPr>
                    <w:t>" description: "</w:t>
                  </w:r>
                  <w:r>
                    <w:rPr>
                      <w:rFonts w:hint="eastAsia" w:ascii="宋体" w:eastAsia="宋体"/>
                      <w:color w:val="333333"/>
                    </w:rPr>
                    <w:t>报告</w:t>
                  </w:r>
                  <w:r>
                    <w:rPr>
                      <w:color w:val="333333"/>
                    </w:rPr>
                    <w:t>.</w:t>
                  </w:r>
                  <w:r>
                    <w:rPr>
                      <w:rFonts w:hint="eastAsia" w:ascii="宋体" w:eastAsia="宋体"/>
                      <w:color w:val="333333"/>
                    </w:rPr>
                    <w:t>请当即查看</w:t>
                  </w:r>
                  <w:r>
                    <w:rPr>
                      <w:color w:val="333333"/>
                    </w:rPr>
                    <w:t>!"</w:t>
                  </w:r>
                </w:p>
              </w:txbxContent>
            </v:textbox>
            <w10:wrap type="none"/>
            <w10:anchorlock/>
          </v:shape>
        </w:pict>
      </w:r>
    </w:p>
    <w:p w14:paraId="30E06CCD">
      <w:pPr>
        <w:pStyle w:val="12"/>
        <w:widowControl w:val="0"/>
        <w:ind w:left="11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依次启动 prometheus、altermanagers、node_server 服务，查看告警，而后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停止</w:t>
      </w:r>
      <w:r>
        <w:rPr>
          <w:rFonts w:hint="eastAsia" w:ascii="宋体" w:hAnsi="宋体" w:cs="宋体"/>
          <w:sz w:val="24"/>
          <w:szCs w:val="24"/>
        </w:rPr>
        <w:t xml:space="preserve"> node_export 服务，等待一段时间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cs="宋体"/>
          <w:sz w:val="24"/>
          <w:szCs w:val="24"/>
        </w:rPr>
        <w:t>查看。</w:t>
      </w:r>
    </w:p>
    <w:p w14:paraId="2CBAD31C">
      <w:pPr>
        <w:pStyle w:val="29"/>
        <w:widowControl w:val="0"/>
        <w:ind w:firstLine="0" w:firstLineChars="0"/>
      </w:pPr>
      <w:r>
        <w:drawing>
          <wp:inline distT="0" distB="0" distL="114300" distR="114300">
            <wp:extent cx="5267960" cy="2961005"/>
            <wp:effectExtent l="0" t="0" r="508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7275" cy="3667125"/>
            <wp:effectExtent l="0" t="0" r="952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9C76">
      <w:pPr>
        <w:pStyle w:val="31"/>
        <w:keepNext w:val="0"/>
        <w:keepLines w:val="0"/>
        <w:widowControl w:val="0"/>
        <w:ind w:firstLine="474"/>
        <w:rPr>
          <w:rFonts w:hint="eastAsia"/>
          <w:lang w:eastAsia="zh-CN"/>
        </w:rPr>
      </w:pPr>
      <w:bookmarkStart w:id="11" w:name="_Toc20249"/>
      <w:r>
        <w:rPr>
          <w:rFonts w:hint="eastAsia"/>
          <w:lang w:eastAsia="zh-CN"/>
        </w:rPr>
        <w:t>企业微信告警实现</w:t>
      </w:r>
      <w:bookmarkEnd w:id="11"/>
    </w:p>
    <w:p w14:paraId="6E1C12B0">
      <w:pPr>
        <w:widowControl w:val="0"/>
        <w:ind w:firstLine="460" w:firstLineChars="200"/>
        <w:rPr>
          <w:rFonts w:hint="eastAsia" w:ascii="宋体" w:hAnsi="宋体" w:cs="宋体"/>
          <w:sz w:val="23"/>
          <w:szCs w:val="23"/>
          <w:lang w:eastAsia="zh-CN"/>
        </w:rPr>
      </w:pPr>
      <w:r>
        <w:rPr>
          <w:rFonts w:hint="eastAsia" w:ascii="宋体" w:hAnsi="宋体" w:cs="宋体"/>
          <w:sz w:val="23"/>
          <w:szCs w:val="23"/>
          <w:lang w:eastAsia="zh-CN"/>
        </w:rPr>
        <w:t>和上面的示例</w:t>
      </w:r>
      <w:r>
        <w:rPr>
          <w:rFonts w:hint="eastAsia" w:ascii="宋体" w:hAnsi="宋体" w:cs="宋体"/>
          <w:sz w:val="23"/>
          <w:szCs w:val="23"/>
          <w:lang w:val="en-US" w:eastAsia="zh-CN"/>
        </w:rPr>
        <w:t>操作</w:t>
      </w:r>
      <w:r>
        <w:rPr>
          <w:rFonts w:hint="eastAsia" w:ascii="宋体" w:hAnsi="宋体" w:cs="宋体"/>
          <w:sz w:val="23"/>
          <w:szCs w:val="23"/>
          <w:lang w:eastAsia="zh-CN"/>
        </w:rPr>
        <w:t>基本一致，主要是配置的区别。</w:t>
      </w:r>
    </w:p>
    <w:p w14:paraId="4605D024">
      <w:pPr>
        <w:widowControl w:val="0"/>
        <w:ind w:firstLine="460" w:firstLineChars="200"/>
        <w:rPr>
          <w:rFonts w:hint="eastAsia" w:ascii="宋体" w:hAnsi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</w:rPr>
        <w:t>在企业微信中建立一个应用，并获得 secret、corp_id 和 agent_id 配置。</w:t>
      </w:r>
    </w:p>
    <w:p w14:paraId="680EC5A0">
      <w:pPr>
        <w:pStyle w:val="29"/>
        <w:widowControl w:val="0"/>
        <w:ind w:firstLine="0" w:firstLineChars="0"/>
        <w:jc w:val="center"/>
      </w:pPr>
      <w:r>
        <w:drawing>
          <wp:inline distT="0" distB="0" distL="114300" distR="114300">
            <wp:extent cx="5274310" cy="2954655"/>
            <wp:effectExtent l="0" t="0" r="13970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2568575" cy="4210685"/>
            <wp:effectExtent l="0" t="0" r="6985" b="10795"/>
            <wp:docPr id="17" name="图片 17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6F15">
      <w:pPr>
        <w:pStyle w:val="31"/>
        <w:keepNext w:val="0"/>
        <w:keepLines w:val="0"/>
        <w:widowControl w:val="0"/>
        <w:ind w:firstLine="474"/>
        <w:rPr>
          <w:rFonts w:hint="eastAsia"/>
          <w:lang w:eastAsia="zh-CN"/>
        </w:rPr>
      </w:pPr>
      <w:bookmarkStart w:id="12" w:name="_Toc13419"/>
      <w:r>
        <w:rPr>
          <w:rFonts w:hint="eastAsia"/>
          <w:lang w:eastAsia="zh-CN"/>
        </w:rPr>
        <w:t>手机告警实现</w:t>
      </w:r>
      <w:bookmarkEnd w:id="12"/>
    </w:p>
    <w:p w14:paraId="067237F2">
      <w:pPr>
        <w:pStyle w:val="29"/>
        <w:widowControl w:val="0"/>
        <w:ind w:firstLine="0" w:firstLineChars="0"/>
        <w:jc w:val="center"/>
      </w:pPr>
      <w:r>
        <w:drawing>
          <wp:inline distT="0" distB="0" distL="114300" distR="114300">
            <wp:extent cx="2814320" cy="3619500"/>
            <wp:effectExtent l="0" t="0" r="508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D5F4">
      <w:pPr>
        <w:pStyle w:val="30"/>
        <w:bidi w:val="0"/>
        <w:rPr>
          <w:rFonts w:hint="default"/>
          <w:lang w:val="en-US" w:eastAsia="zh-CN"/>
        </w:rPr>
      </w:pPr>
      <w:bookmarkStart w:id="13" w:name="_Toc23076"/>
      <w:r>
        <w:rPr>
          <w:rFonts w:hint="eastAsia"/>
          <w:lang w:val="en-US" w:eastAsia="zh-CN"/>
        </w:rPr>
        <w:t>运维工具应用情况及后续计划</w:t>
      </w:r>
      <w:bookmarkEnd w:id="13"/>
    </w:p>
    <w:p w14:paraId="17605174">
      <w:pPr>
        <w:pStyle w:val="31"/>
        <w:bidi w:val="0"/>
        <w:rPr>
          <w:rFonts w:hint="default"/>
          <w:lang w:val="en-US" w:eastAsia="zh-CN"/>
        </w:rPr>
      </w:pPr>
      <w:bookmarkStart w:id="14" w:name="_Toc23580"/>
      <w:r>
        <w:rPr>
          <w:rFonts w:hint="default"/>
          <w:lang w:val="en-US" w:eastAsia="zh-CN"/>
        </w:rPr>
        <w:t>当前应用情况</w:t>
      </w:r>
      <w:bookmarkEnd w:id="14"/>
    </w:p>
    <w:p w14:paraId="36A86BF2">
      <w:pPr>
        <w:pStyle w:val="29"/>
        <w:rPr>
          <w:rFonts w:hint="default"/>
          <w:lang w:val="en-US" w:eastAsia="zh-CN"/>
        </w:rPr>
      </w:pPr>
    </w:p>
    <w:tbl>
      <w:tblPr>
        <w:tblStyle w:val="20"/>
        <w:tblpPr w:leftFromText="180" w:rightFromText="180" w:vertAnchor="text" w:horzAnchor="page" w:tblpX="1715" w:tblpY="1401"/>
        <w:tblOverlap w:val="never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3002"/>
        <w:gridCol w:w="4816"/>
      </w:tblGrid>
      <w:tr w14:paraId="7C1D4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7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9A4B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30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73F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项目名称</w:t>
            </w:r>
          </w:p>
        </w:tc>
        <w:tc>
          <w:tcPr>
            <w:tcW w:w="48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369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应用情况</w:t>
            </w:r>
          </w:p>
        </w:tc>
      </w:tr>
      <w:tr w14:paraId="417F6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1957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1.</w:t>
            </w:r>
          </w:p>
        </w:tc>
        <w:tc>
          <w:tcPr>
            <w:tcW w:w="30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CB1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陕西华龙制药有限公司SPS产品支持服务项目</w:t>
            </w:r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F7A5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部署监控告警系统，实时监测服务器运行状态，邮件告警已接入项目运维团队</w:t>
            </w:r>
          </w:p>
        </w:tc>
      </w:tr>
      <w:tr w14:paraId="0DE0B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DAC3F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3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36F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咸阳市供热集团有限公司运维项目</w:t>
            </w:r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4EBB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手机告警功能已启用，关键故障第一时间通过短信通知运维负责人</w:t>
            </w:r>
          </w:p>
        </w:tc>
      </w:tr>
    </w:tbl>
    <w:p w14:paraId="1226549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截至2025年12月，Prometheus+Grafana监控系统功能扩展项目已完成开发并上线试运行，邮件告警、企业微信告警、手机告警三大功能模块已在交付部内部投</w:t>
      </w:r>
      <w:bookmarkStart w:id="26" w:name="_GoBack"/>
      <w:bookmarkEnd w:id="26"/>
      <w:r>
        <w:rPr>
          <w:rFonts w:hint="default"/>
          <w:lang w:val="en-US" w:eastAsia="zh-CN"/>
        </w:rPr>
        <w:t>入使用。目前该工具已应用于以下项目：</w:t>
      </w:r>
    </w:p>
    <w:p w14:paraId="5B91D173">
      <w:pPr>
        <w:pStyle w:val="31"/>
        <w:bidi w:val="0"/>
        <w:rPr>
          <w:lang w:eastAsia="zh-CN"/>
        </w:rPr>
      </w:pPr>
      <w:bookmarkStart w:id="15" w:name="_Toc24638"/>
      <w:r>
        <w:rPr>
          <w:rFonts w:hint="eastAsia"/>
          <w:lang w:val="en-US" w:eastAsia="zh-CN"/>
        </w:rPr>
        <w:t>后续推广计划</w:t>
      </w:r>
      <w:bookmarkEnd w:id="15"/>
    </w:p>
    <w:p w14:paraId="4CAD77C4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根据公司运维业务发展需要，该工具将在以下阶段进一步推广使用：</w:t>
      </w:r>
    </w:p>
    <w:p w14:paraId="0DABE91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2026年第一季度（试运行优化期）：</w:t>
      </w:r>
    </w:p>
    <w:p w14:paraId="61D33372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持续收集交付部及各项目组的使用反馈，修复试运行期间发现的BUG</w:t>
      </w:r>
    </w:p>
    <w:p w14:paraId="27CFD4D1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优化告警规则配置，减少误报和重复告警</w:t>
      </w:r>
    </w:p>
    <w:p w14:paraId="427031E6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完成回归测试，正式发布稳定版本</w:t>
      </w:r>
    </w:p>
    <w:p w14:paraId="79EDDE93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2026年第二季度（全面推广期）：</w:t>
      </w:r>
    </w:p>
    <w:p w14:paraId="3B5577ED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将监控告警系统推广至公司所有运维项目，实现全覆盖</w:t>
      </w:r>
    </w:p>
    <w:p w14:paraId="0B2D40B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为各项目组提供使用培训，确保运维人员熟练掌握工具操作</w:t>
      </w:r>
    </w:p>
    <w:p w14:paraId="37CFC52A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建立告警配置模板库，支持新项目快速接入</w:t>
      </w:r>
    </w:p>
    <w:p w14:paraId="16B8611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2026年下半年（深化应用期）：</w:t>
      </w:r>
    </w:p>
    <w:p w14:paraId="3617EBE7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探索与运维服务台的集成，实现告警自动派单</w:t>
      </w:r>
    </w:p>
    <w:p w14:paraId="466D3D51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引入智能告警分析功能，提升告警研判准确率</w:t>
      </w:r>
    </w:p>
    <w:p w14:paraId="43782A13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结合运维知识库，逐步构建智能运维辅助决策能力</w:t>
      </w:r>
    </w:p>
    <w:p w14:paraId="1EB5AEEE">
      <w:pPr>
        <w:pStyle w:val="29"/>
        <w:rPr>
          <w:lang w:eastAsia="zh-CN"/>
        </w:rPr>
      </w:pPr>
      <w:r>
        <w:rPr>
          <w:rFonts w:hint="eastAsia"/>
          <w:lang w:eastAsia="zh-CN"/>
        </w:rPr>
        <w:t>通过上述推广应用，预计到2026年底，该工具将全面覆盖公司所有运维项目，进一步提升运维服务质量和客户满意度。</w:t>
      </w:r>
    </w:p>
    <w:p w14:paraId="5037B02A">
      <w:pPr>
        <w:pStyle w:val="28"/>
        <w:keepNext w:val="0"/>
        <w:keepLines w:val="0"/>
        <w:widowControl w:val="0"/>
        <w:rPr>
          <w:lang w:eastAsia="zh-CN"/>
        </w:rPr>
      </w:pPr>
      <w:bookmarkStart w:id="16" w:name="_Toc19306"/>
      <w:r>
        <w:rPr>
          <w:rFonts w:hint="eastAsia"/>
          <w:lang w:eastAsia="zh-CN"/>
        </w:rPr>
        <w:t>运维手册研发进度</w:t>
      </w:r>
      <w:bookmarkEnd w:id="16"/>
    </w:p>
    <w:p w14:paraId="036E1A0C">
      <w:pPr>
        <w:pStyle w:val="30"/>
        <w:keepNext w:val="0"/>
        <w:keepLines w:val="0"/>
        <w:widowControl w:val="0"/>
        <w:rPr>
          <w:lang w:eastAsia="zh-CN"/>
        </w:rPr>
      </w:pPr>
      <w:bookmarkStart w:id="17" w:name="_Toc8734"/>
      <w:r>
        <w:rPr>
          <w:rFonts w:hint="eastAsia"/>
          <w:lang w:eastAsia="zh-CN"/>
        </w:rPr>
        <w:t>研发进度</w:t>
      </w:r>
      <w:bookmarkEnd w:id="17"/>
    </w:p>
    <w:p w14:paraId="31E9E938">
      <w:pPr>
        <w:pStyle w:val="29"/>
        <w:widowControl w:val="0"/>
        <w:tabs>
          <w:tab w:val="left" w:pos="5565"/>
        </w:tabs>
        <w:ind w:firstLine="480"/>
      </w:pPr>
      <w:r>
        <w:rPr>
          <w:rFonts w:hint="eastAsia"/>
        </w:rPr>
        <w:t>根据研发计划，手册研发进度如表2-1所示：</w:t>
      </w:r>
      <w:r>
        <w:rPr>
          <w:rFonts w:hint="eastAsia"/>
        </w:rPr>
        <w:tab/>
      </w:r>
    </w:p>
    <w:p w14:paraId="75A4DF49">
      <w:pPr>
        <w:widowControl w:val="0"/>
        <w:spacing w:before="106"/>
        <w:jc w:val="center"/>
        <w:rPr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STYLEREF "柴_标题1" \n \* Charformat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表 \* ARABIC  \s 1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研发手册完成情况</w:t>
      </w:r>
    </w:p>
    <w:tbl>
      <w:tblPr>
        <w:tblStyle w:val="26"/>
        <w:tblW w:w="644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  <w:gridCol w:w="1614"/>
      </w:tblGrid>
      <w:tr w14:paraId="08A39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</w:tcPr>
          <w:p w14:paraId="5116DA78">
            <w:pPr>
              <w:widowControl w:val="0"/>
              <w:spacing w:before="90" w:line="222" w:lineRule="auto"/>
              <w:ind w:left="192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399" w:type="dxa"/>
          </w:tcPr>
          <w:p w14:paraId="74C81D9C">
            <w:pPr>
              <w:widowControl w:val="0"/>
              <w:spacing w:before="90" w:line="222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2"/>
                <w:szCs w:val="22"/>
                <w:lang w:eastAsia="zh-CN"/>
              </w:rPr>
              <w:t>手册名称</w:t>
            </w:r>
          </w:p>
        </w:tc>
        <w:tc>
          <w:tcPr>
            <w:tcW w:w="1614" w:type="dxa"/>
          </w:tcPr>
          <w:p w14:paraId="3C24D8B7">
            <w:pPr>
              <w:widowControl w:val="0"/>
              <w:spacing w:before="90" w:line="220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2"/>
                <w:szCs w:val="22"/>
                <w:lang w:eastAsia="zh-CN"/>
              </w:rPr>
              <w:t>计划时间</w:t>
            </w:r>
          </w:p>
        </w:tc>
        <w:tc>
          <w:tcPr>
            <w:tcW w:w="1614" w:type="dxa"/>
          </w:tcPr>
          <w:p w14:paraId="6C9AC5CF">
            <w:pPr>
              <w:widowControl w:val="0"/>
              <w:spacing w:before="90" w:line="220" w:lineRule="auto"/>
              <w:jc w:val="center"/>
              <w:rPr>
                <w:rFonts w:hint="eastAsia" w:ascii="宋体" w:hAnsi="宋体" w:cs="宋体"/>
                <w:spacing w:val="-3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2"/>
                <w:szCs w:val="22"/>
                <w:lang w:eastAsia="zh-CN"/>
              </w:rPr>
              <w:t>完成情况</w:t>
            </w:r>
          </w:p>
        </w:tc>
      </w:tr>
      <w:tr w14:paraId="5B88F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0685E27A">
            <w:pPr>
              <w:widowControl w:val="0"/>
              <w:numPr>
                <w:ilvl w:val="0"/>
                <w:numId w:val="17"/>
              </w:numPr>
              <w:spacing w:before="89" w:line="242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594E1738">
            <w:pPr>
              <w:widowControl w:val="0"/>
              <w:spacing w:before="89" w:line="220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eastAsia="zh-CN"/>
              </w:rPr>
              <w:t>VPN连接部署手册</w:t>
            </w:r>
          </w:p>
        </w:tc>
        <w:tc>
          <w:tcPr>
            <w:tcW w:w="1614" w:type="dxa"/>
          </w:tcPr>
          <w:p w14:paraId="23DDA253">
            <w:pPr>
              <w:widowControl w:val="0"/>
              <w:spacing w:before="90" w:line="219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2025年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月</w:t>
            </w:r>
          </w:p>
        </w:tc>
        <w:tc>
          <w:tcPr>
            <w:tcW w:w="1614" w:type="dxa"/>
          </w:tcPr>
          <w:p w14:paraId="08A921F9">
            <w:pPr>
              <w:widowControl w:val="0"/>
              <w:spacing w:before="90" w:line="219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已完成</w:t>
            </w:r>
          </w:p>
        </w:tc>
      </w:tr>
      <w:tr w14:paraId="115BA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31492A42">
            <w:pPr>
              <w:widowControl w:val="0"/>
              <w:numPr>
                <w:ilvl w:val="0"/>
                <w:numId w:val="17"/>
              </w:numPr>
              <w:spacing w:before="90" w:line="242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5EE6EA16">
            <w:pPr>
              <w:widowControl w:val="0"/>
              <w:spacing w:before="91" w:line="220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Docker部署cas</w:t>
            </w:r>
          </w:p>
        </w:tc>
        <w:tc>
          <w:tcPr>
            <w:tcW w:w="1614" w:type="dxa"/>
          </w:tcPr>
          <w:p w14:paraId="5BAF2C1A">
            <w:pPr>
              <w:widowControl w:val="0"/>
              <w:spacing w:before="91" w:line="219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2025年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月</w:t>
            </w:r>
          </w:p>
        </w:tc>
        <w:tc>
          <w:tcPr>
            <w:tcW w:w="1614" w:type="dxa"/>
          </w:tcPr>
          <w:p w14:paraId="6A3BC0AD">
            <w:pPr>
              <w:widowControl w:val="0"/>
              <w:spacing w:before="91" w:line="219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已完成</w:t>
            </w:r>
          </w:p>
        </w:tc>
      </w:tr>
      <w:tr w14:paraId="2A96A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04444652">
            <w:pPr>
              <w:widowControl w:val="0"/>
              <w:numPr>
                <w:ilvl w:val="0"/>
                <w:numId w:val="17"/>
              </w:numPr>
              <w:spacing w:before="99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4A4A7AA0">
            <w:pPr>
              <w:widowControl w:val="0"/>
              <w:spacing w:before="100" w:line="219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Docker部署Redis</w:t>
            </w:r>
          </w:p>
        </w:tc>
        <w:tc>
          <w:tcPr>
            <w:tcW w:w="1614" w:type="dxa"/>
          </w:tcPr>
          <w:p w14:paraId="264F26DD">
            <w:pPr>
              <w:widowControl w:val="0"/>
              <w:spacing w:before="100" w:line="219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2025年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月</w:t>
            </w:r>
          </w:p>
        </w:tc>
        <w:tc>
          <w:tcPr>
            <w:tcW w:w="1614" w:type="dxa"/>
          </w:tcPr>
          <w:p w14:paraId="4592C4DA">
            <w:pPr>
              <w:widowControl w:val="0"/>
              <w:spacing w:before="100" w:line="219" w:lineRule="auto"/>
              <w:jc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已完成</w:t>
            </w:r>
          </w:p>
        </w:tc>
      </w:tr>
    </w:tbl>
    <w:p w14:paraId="718AB3DB">
      <w:pPr>
        <w:widowControl w:val="0"/>
        <w:spacing w:before="106"/>
        <w:jc w:val="center"/>
        <w:rPr>
          <w:lang w:eastAsia="zh-CN"/>
        </w:rPr>
      </w:pPr>
    </w:p>
    <w:p w14:paraId="5E30A1A0">
      <w:pPr>
        <w:pStyle w:val="30"/>
        <w:keepNext w:val="0"/>
        <w:keepLines w:val="0"/>
        <w:widowControl w:val="0"/>
        <w:rPr>
          <w:lang w:eastAsia="zh-CN"/>
        </w:rPr>
      </w:pPr>
      <w:bookmarkStart w:id="18" w:name="_Toc6285"/>
      <w:r>
        <w:rPr>
          <w:rFonts w:hint="eastAsia"/>
          <w:lang w:eastAsia="zh-CN"/>
        </w:rPr>
        <w:t>研发成果</w:t>
      </w:r>
      <w:bookmarkEnd w:id="18"/>
    </w:p>
    <w:p w14:paraId="0AB54F2B">
      <w:pPr>
        <w:pStyle w:val="29"/>
        <w:widowControl w:val="0"/>
        <w:ind w:firstLine="480"/>
      </w:pPr>
      <w:r>
        <w:rPr>
          <w:rFonts w:hint="eastAsia"/>
        </w:rPr>
        <w:t>相应手册，全部按进度研发完成，如图2-1所示。</w:t>
      </w:r>
    </w:p>
    <w:p w14:paraId="68AAE881">
      <w:pPr>
        <w:pStyle w:val="29"/>
        <w:widowControl w:val="0"/>
        <w:ind w:firstLine="0" w:firstLineChars="0"/>
        <w:jc w:val="center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研发手册完成情况</w:t>
      </w:r>
    </w:p>
    <w:p w14:paraId="7FA68C6E">
      <w:pPr>
        <w:pStyle w:val="29"/>
        <w:widowControl w:val="0"/>
        <w:ind w:firstLine="480"/>
      </w:pPr>
      <w:r>
        <w:drawing>
          <wp:inline distT="0" distB="0" distL="114300" distR="114300">
            <wp:extent cx="3870960" cy="125031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438F">
      <w:pPr>
        <w:pStyle w:val="30"/>
        <w:keepNext w:val="0"/>
        <w:keepLines w:val="0"/>
        <w:widowControl w:val="0"/>
        <w:rPr>
          <w:lang w:eastAsia="zh-CN"/>
        </w:rPr>
      </w:pPr>
      <w:bookmarkStart w:id="19" w:name="_Toc15376"/>
      <w:r>
        <w:rPr>
          <w:rFonts w:hint="eastAsia"/>
          <w:lang w:eastAsia="zh-CN"/>
        </w:rPr>
        <w:t>研发现状</w:t>
      </w:r>
      <w:bookmarkEnd w:id="19"/>
    </w:p>
    <w:p w14:paraId="5C0923BA">
      <w:pPr>
        <w:pStyle w:val="31"/>
        <w:bidi w:val="0"/>
        <w:rPr>
          <w:rFonts w:hint="eastAsia"/>
          <w:lang w:eastAsia="zh-CN"/>
        </w:rPr>
      </w:pPr>
      <w:bookmarkStart w:id="20" w:name="_Toc6600"/>
      <w:r>
        <w:rPr>
          <w:rFonts w:hint="eastAsia"/>
          <w:lang w:eastAsia="zh-CN"/>
        </w:rPr>
        <w:t>运维工具研发</w:t>
      </w:r>
      <w:bookmarkEnd w:id="20"/>
    </w:p>
    <w:p w14:paraId="47E3910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截至2025年12月，Prometheus+Grafana监控系统功能扩展项目已按计划完成所有开发与测试工作，并于2025年12月正式上线试运行。邮件告警、企业微信告警、手机告警三大核心功能模块均已交付使用，系统运行稳定，告警推送及时准确，有效提升了运维团队的响应效率。后续将根据试运行期间收集的反馈意见，持续进行BUG修复和功能优化，计划于2026年2月完成回归测试并正式全面上线。</w:t>
      </w:r>
    </w:p>
    <w:p w14:paraId="01A0296E">
      <w:pPr>
        <w:pStyle w:val="31"/>
        <w:bidi w:val="0"/>
        <w:rPr>
          <w:rFonts w:hint="eastAsia"/>
          <w:lang w:eastAsia="zh-CN"/>
        </w:rPr>
      </w:pPr>
      <w:bookmarkStart w:id="21" w:name="_Toc20939"/>
      <w:r>
        <w:rPr>
          <w:rFonts w:hint="eastAsia"/>
          <w:lang w:eastAsia="zh-CN"/>
        </w:rPr>
        <w:t>运维手册研发</w:t>
      </w:r>
      <w:bookmarkEnd w:id="21"/>
    </w:p>
    <w:p w14:paraId="08E70091">
      <w:pPr>
        <w:pStyle w:val="29"/>
        <w:rPr>
          <w:lang w:eastAsia="zh-CN"/>
        </w:rPr>
      </w:pPr>
      <w:r>
        <w:rPr>
          <w:rFonts w:hint="eastAsia"/>
          <w:lang w:eastAsia="zh-CN"/>
        </w:rPr>
        <w:t>手册研发工作已全部按计划完成，《VPN连接部署手册》《Docker部署cas》《Docker部署Redis》三份手册均已正式发布，并在交付部内部推广使用。目前手册运行良好，有效支撑了运维人员的日常操作与故障处理工作。后续将根据实际使用反馈，对手册内容进行持续优化和更新。</w:t>
      </w:r>
    </w:p>
    <w:p w14:paraId="71FBE4B9">
      <w:pPr>
        <w:pStyle w:val="28"/>
        <w:keepNext w:val="0"/>
        <w:keepLines w:val="0"/>
        <w:widowControl w:val="0"/>
        <w:rPr>
          <w:lang w:eastAsia="zh-CN"/>
        </w:rPr>
      </w:pPr>
      <w:bookmarkStart w:id="22" w:name="_Toc30833"/>
      <w:r>
        <w:rPr>
          <w:rFonts w:hint="eastAsia"/>
          <w:lang w:val="en-US" w:eastAsia="zh-CN"/>
        </w:rPr>
        <w:t>资源使用情况</w:t>
      </w:r>
      <w:bookmarkEnd w:id="22"/>
    </w:p>
    <w:p w14:paraId="63F907EB">
      <w:pPr>
        <w:pStyle w:val="31"/>
        <w:bidi w:val="0"/>
        <w:rPr>
          <w:lang w:eastAsia="zh-CN"/>
        </w:rPr>
      </w:pPr>
      <w:bookmarkStart w:id="23" w:name="_Toc4577"/>
      <w:r>
        <w:rPr>
          <w:rFonts w:hint="eastAsia"/>
          <w:lang w:eastAsia="zh-CN"/>
        </w:rPr>
        <w:t>研发经费使用情况</w:t>
      </w:r>
      <w:bookmarkEnd w:id="23"/>
    </w:p>
    <w:p w14:paraId="63B19CCF">
      <w:pPr>
        <w:pStyle w:val="29"/>
        <w:widowControl w:val="0"/>
        <w:ind w:firstLine="480"/>
      </w:pPr>
      <w:r>
        <w:rPr>
          <w:rFonts w:hint="eastAsia"/>
        </w:rPr>
        <w:t>截止目前，研发经费使用情况，如表3-1所示：</w:t>
      </w:r>
    </w:p>
    <w:p w14:paraId="2FD99441">
      <w:pPr>
        <w:widowControl w:val="0"/>
        <w:spacing w:before="106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STYLEREF "柴_标题1" \n \* Charformat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表 \* ARABIC  \s 1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研发经费使用情况</w:t>
      </w:r>
    </w:p>
    <w:tbl>
      <w:tblPr>
        <w:tblStyle w:val="26"/>
        <w:tblW w:w="644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  <w:gridCol w:w="1614"/>
      </w:tblGrid>
      <w:tr w14:paraId="3FCE0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</w:tcPr>
          <w:p w14:paraId="49196066">
            <w:pPr>
              <w:widowControl w:val="0"/>
              <w:spacing w:before="90" w:line="222" w:lineRule="auto"/>
              <w:ind w:left="192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399" w:type="dxa"/>
          </w:tcPr>
          <w:p w14:paraId="6D93FA46">
            <w:pPr>
              <w:widowControl w:val="0"/>
              <w:spacing w:before="90" w:line="222" w:lineRule="auto"/>
              <w:ind w:left="552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2"/>
                <w:szCs w:val="22"/>
                <w:lang w:eastAsia="zh-CN"/>
              </w:rPr>
              <w:t>投入项目</w:t>
            </w:r>
          </w:p>
        </w:tc>
        <w:tc>
          <w:tcPr>
            <w:tcW w:w="1614" w:type="dxa"/>
          </w:tcPr>
          <w:p w14:paraId="60F54BBC">
            <w:pPr>
              <w:widowControl w:val="0"/>
              <w:spacing w:before="90" w:line="220" w:lineRule="auto"/>
              <w:ind w:left="25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投入费用</w:t>
            </w:r>
          </w:p>
        </w:tc>
        <w:tc>
          <w:tcPr>
            <w:tcW w:w="1614" w:type="dxa"/>
          </w:tcPr>
          <w:p w14:paraId="3D675253">
            <w:pPr>
              <w:widowControl w:val="0"/>
              <w:spacing w:before="90" w:line="220" w:lineRule="auto"/>
              <w:ind w:left="25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已使用</w:t>
            </w:r>
          </w:p>
        </w:tc>
      </w:tr>
      <w:tr w14:paraId="008853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5E7A791C">
            <w:pPr>
              <w:widowControl w:val="0"/>
              <w:numPr>
                <w:ilvl w:val="0"/>
                <w:numId w:val="18"/>
              </w:numPr>
              <w:spacing w:before="89" w:line="242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1B8510F9">
            <w:pPr>
              <w:widowControl w:val="0"/>
              <w:spacing w:before="89" w:line="220" w:lineRule="auto"/>
              <w:ind w:left="11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eastAsia="zh-CN"/>
              </w:rPr>
              <w:t>人员研发经费</w:t>
            </w:r>
          </w:p>
        </w:tc>
        <w:tc>
          <w:tcPr>
            <w:tcW w:w="1614" w:type="dxa"/>
          </w:tcPr>
          <w:p w14:paraId="5AE8E637">
            <w:pPr>
              <w:widowControl w:val="0"/>
              <w:spacing w:before="90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21万</w:t>
            </w:r>
          </w:p>
        </w:tc>
        <w:tc>
          <w:tcPr>
            <w:tcW w:w="1614" w:type="dxa"/>
          </w:tcPr>
          <w:p w14:paraId="33D4A9F1">
            <w:pPr>
              <w:widowControl w:val="0"/>
              <w:spacing w:before="90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19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万</w:t>
            </w:r>
          </w:p>
        </w:tc>
      </w:tr>
      <w:tr w14:paraId="1119A0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090588BF">
            <w:pPr>
              <w:widowControl w:val="0"/>
              <w:numPr>
                <w:ilvl w:val="0"/>
                <w:numId w:val="18"/>
              </w:numPr>
              <w:spacing w:before="90" w:line="242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345BC3DB">
            <w:pPr>
              <w:widowControl w:val="0"/>
              <w:spacing w:before="91" w:line="220" w:lineRule="auto"/>
              <w:ind w:left="110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硬件设备经费</w:t>
            </w:r>
          </w:p>
        </w:tc>
        <w:tc>
          <w:tcPr>
            <w:tcW w:w="1614" w:type="dxa"/>
          </w:tcPr>
          <w:p w14:paraId="3F757DF1">
            <w:pPr>
              <w:widowControl w:val="0"/>
              <w:spacing w:before="91" w:line="219" w:lineRule="auto"/>
              <w:ind w:left="113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4万</w:t>
            </w:r>
          </w:p>
        </w:tc>
        <w:tc>
          <w:tcPr>
            <w:tcW w:w="1614" w:type="dxa"/>
          </w:tcPr>
          <w:p w14:paraId="196D4C6D">
            <w:pPr>
              <w:widowControl w:val="0"/>
              <w:spacing w:before="91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4万</w:t>
            </w:r>
          </w:p>
        </w:tc>
      </w:tr>
      <w:tr w14:paraId="4CE2AA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1F2F4377">
            <w:pPr>
              <w:widowControl w:val="0"/>
              <w:numPr>
                <w:ilvl w:val="0"/>
                <w:numId w:val="18"/>
              </w:numPr>
              <w:spacing w:before="99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733BF475">
            <w:pPr>
              <w:widowControl w:val="0"/>
              <w:spacing w:before="100" w:line="219" w:lineRule="auto"/>
              <w:ind w:left="11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手册研发经费</w:t>
            </w:r>
          </w:p>
        </w:tc>
        <w:tc>
          <w:tcPr>
            <w:tcW w:w="1614" w:type="dxa"/>
          </w:tcPr>
          <w:p w14:paraId="5E1E309A">
            <w:pPr>
              <w:widowControl w:val="0"/>
              <w:spacing w:before="100" w:line="219" w:lineRule="auto"/>
              <w:ind w:left="113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2万</w:t>
            </w:r>
          </w:p>
        </w:tc>
        <w:tc>
          <w:tcPr>
            <w:tcW w:w="1614" w:type="dxa"/>
          </w:tcPr>
          <w:p w14:paraId="473B66C7">
            <w:pPr>
              <w:widowControl w:val="0"/>
              <w:spacing w:before="100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2万</w:t>
            </w:r>
          </w:p>
        </w:tc>
      </w:tr>
    </w:tbl>
    <w:p w14:paraId="2EA73792">
      <w:pPr>
        <w:pStyle w:val="29"/>
        <w:widowControl w:val="0"/>
        <w:ind w:firstLine="48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</w:rPr>
        <w:t>截止目前，研发人员使用经费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万元，硬件设备使用经费4万元，手册研发2万元，总计使用2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万元，经费使用合理。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目前项目尚处于试运行阶段，后续BUG修复和正式上线工作仍在进行中，剩余2万人员研发经费将按计划继续投入使用。</w:t>
      </w:r>
    </w:p>
    <w:p w14:paraId="2B88A445">
      <w:pPr>
        <w:pStyle w:val="31"/>
        <w:bidi w:val="0"/>
        <w:rPr>
          <w:rFonts w:hint="default"/>
          <w:lang w:val="en-US" w:eastAsia="zh-CN"/>
        </w:rPr>
      </w:pPr>
      <w:bookmarkStart w:id="24" w:name="_Toc28957"/>
      <w:r>
        <w:rPr>
          <w:rFonts w:hint="eastAsia"/>
          <w:lang w:val="en-US" w:eastAsia="zh-CN"/>
        </w:rPr>
        <w:t>人员投入情况</w:t>
      </w:r>
      <w:bookmarkEnd w:id="24"/>
    </w:p>
    <w:p w14:paraId="59121FE6">
      <w:pPr>
        <w:pStyle w:val="29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投入研发人员共计7人，包括研发部经理1人、研发工程师3人、需求工程师2人、测试工程师1人，与规划一致。需求工程师全程参与需求调研与分析，完成用户需求调研并形成优化需求说明；测试工程师负责系统功能测试，完成邮件告警、企业微信告警、手机告警三大模块的测试工作，并输出测试报告。硬件设备方面，按计划新购数据库服务器1台、应用服务器1台，开发用计算机3台（其中2台为新购，1台为已有），均已到位并投入使用。</w:t>
      </w:r>
    </w:p>
    <w:p w14:paraId="600BB0DB">
      <w:pPr>
        <w:pStyle w:val="28"/>
        <w:keepNext w:val="0"/>
        <w:keepLines w:val="0"/>
        <w:widowControl w:val="0"/>
        <w:rPr>
          <w:lang w:eastAsia="zh-CN"/>
        </w:rPr>
      </w:pPr>
      <w:bookmarkStart w:id="25" w:name="_Toc5555"/>
      <w:r>
        <w:rPr>
          <w:rFonts w:hint="eastAsia"/>
          <w:lang w:eastAsia="zh-CN"/>
        </w:rPr>
        <w:t>新技术展望</w:t>
      </w:r>
      <w:bookmarkEnd w:id="25"/>
    </w:p>
    <w:p w14:paraId="3B8CB313">
      <w:pPr>
        <w:pStyle w:val="29"/>
        <w:widowControl w:val="0"/>
        <w:ind w:firstLine="480"/>
      </w:pPr>
      <w:r>
        <w:t>系统性学习与工程实践深度融合，基于Python异步生态与AI工具链构建了智能运维决策中枢。采用FastAPI与异步协程重构事件处理流水线，结合LangChain与Chroma向量数据库构建运维知识图谱的检索增强生成（RAG）模块，将历史故障记录、系统拓扑关系及应急预案注入大模型上下文。利用Apache Flink Python API实现对指标流与日志流的实时关联分析，借助PyO3与Cython对诊断引擎关键路径进行性能强化，并通过Docker与轻量化模型部署实现秒级推理响应。最终实现Level-1/2告警自动研判准确率达88%，平均故障恢复时间（MTTR）缩短65%，为运维自动化与系统韧性提升提供了可复用的Python技术范本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6EE1E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1F4BC"/>
    <w:multiLevelType w:val="singleLevel"/>
    <w:tmpl w:val="8BD1F4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C91E336"/>
    <w:multiLevelType w:val="singleLevel"/>
    <w:tmpl w:val="8C91E3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0464A84"/>
    <w:multiLevelType w:val="singleLevel"/>
    <w:tmpl w:val="90464A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FCD5EB3"/>
    <w:multiLevelType w:val="singleLevel"/>
    <w:tmpl w:val="9FCD5E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319" w:hanging="231"/>
      </w:pPr>
      <w:rPr>
        <w:rFonts w:hint="default" w:ascii="Consolas" w:hAnsi="Consolas" w:eastAsia="Consolas" w:cs="Consolas"/>
        <w:color w:val="333333"/>
        <w:w w:val="100"/>
        <w:sz w:val="21"/>
        <w:szCs w:val="21"/>
        <w:lang w:val="en-US" w:eastAsia="en-US" w:bidi="en-US"/>
      </w:rPr>
    </w:lvl>
    <w:lvl w:ilvl="1" w:tentative="0">
      <w:start w:val="0"/>
      <w:numFmt w:val="bullet"/>
      <w:lvlText w:val="-"/>
      <w:lvlJc w:val="left"/>
      <w:pPr>
        <w:ind w:left="549" w:hanging="231"/>
      </w:pPr>
      <w:rPr>
        <w:rFonts w:hint="default" w:ascii="Consolas" w:hAnsi="Consolas" w:eastAsia="Consolas" w:cs="Consolas"/>
        <w:color w:val="333333"/>
        <w:w w:val="100"/>
        <w:sz w:val="21"/>
        <w:szCs w:val="21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1422" w:hanging="23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305" w:hanging="23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188" w:hanging="23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071" w:hanging="23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4954" w:hanging="23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5837" w:hanging="23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6719" w:hanging="231"/>
      </w:pPr>
      <w:rPr>
        <w:rFonts w:hint="default"/>
        <w:lang w:val="en-US" w:eastAsia="en-US" w:bidi="en-US"/>
      </w:rPr>
    </w:lvl>
  </w:abstractNum>
  <w:abstractNum w:abstractNumId="6">
    <w:nsid w:val="C60ABAFE"/>
    <w:multiLevelType w:val="singleLevel"/>
    <w:tmpl w:val="C60ABA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6AADCBD"/>
    <w:multiLevelType w:val="singleLevel"/>
    <w:tmpl w:val="C6AADC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BF32B16"/>
    <w:multiLevelType w:val="singleLevel"/>
    <w:tmpl w:val="CBF32B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BD18425"/>
    <w:multiLevelType w:val="singleLevel"/>
    <w:tmpl w:val="DBD18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45434A0"/>
    <w:multiLevelType w:val="singleLevel"/>
    <w:tmpl w:val="E45434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4C4C4CB"/>
    <w:multiLevelType w:val="singleLevel"/>
    <w:tmpl w:val="E4C4C4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E36F83C"/>
    <w:multiLevelType w:val="singleLevel"/>
    <w:tmpl w:val="EE36F8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F3EBFA7E"/>
    <w:multiLevelType w:val="singleLevel"/>
    <w:tmpl w:val="F3EBFA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915ABAB"/>
    <w:multiLevelType w:val="singleLevel"/>
    <w:tmpl w:val="F915AB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BE27924"/>
    <w:multiLevelType w:val="singleLevel"/>
    <w:tmpl w:val="3BE279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E7994DE"/>
    <w:multiLevelType w:val="singleLevel"/>
    <w:tmpl w:val="4E799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A28AFB9"/>
    <w:multiLevelType w:val="singleLevel"/>
    <w:tmpl w:val="6A28AF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3"/>
  </w:num>
  <w:num w:numId="5">
    <w:abstractNumId w:val="10"/>
  </w:num>
  <w:num w:numId="6">
    <w:abstractNumId w:val="11"/>
  </w:num>
  <w:num w:numId="7">
    <w:abstractNumId w:val="8"/>
  </w:num>
  <w:num w:numId="8">
    <w:abstractNumId w:val="9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14"/>
  </w:num>
  <w:num w:numId="14">
    <w:abstractNumId w:val="3"/>
  </w:num>
  <w:num w:numId="15">
    <w:abstractNumId w:val="15"/>
  </w:num>
  <w:num w:numId="16">
    <w:abstractNumId w:val="5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91A"/>
    <w:rsid w:val="000C0157"/>
    <w:rsid w:val="009276F1"/>
    <w:rsid w:val="0098366D"/>
    <w:rsid w:val="00BF691A"/>
    <w:rsid w:val="02E76938"/>
    <w:rsid w:val="077E1639"/>
    <w:rsid w:val="08AB11BB"/>
    <w:rsid w:val="09BA1CBE"/>
    <w:rsid w:val="0C3A49B8"/>
    <w:rsid w:val="0D674D12"/>
    <w:rsid w:val="0F340C24"/>
    <w:rsid w:val="0FC401FA"/>
    <w:rsid w:val="0FDF3286"/>
    <w:rsid w:val="14290F74"/>
    <w:rsid w:val="18253800"/>
    <w:rsid w:val="18AF2982"/>
    <w:rsid w:val="18BE612E"/>
    <w:rsid w:val="1A0D279E"/>
    <w:rsid w:val="1D733CF7"/>
    <w:rsid w:val="1E460E41"/>
    <w:rsid w:val="1F4439CD"/>
    <w:rsid w:val="244B45EE"/>
    <w:rsid w:val="28B95DDE"/>
    <w:rsid w:val="29B6075C"/>
    <w:rsid w:val="2A0A4AFB"/>
    <w:rsid w:val="2BF65788"/>
    <w:rsid w:val="30234671"/>
    <w:rsid w:val="30A05F49"/>
    <w:rsid w:val="3102072B"/>
    <w:rsid w:val="363D0678"/>
    <w:rsid w:val="38EA0422"/>
    <w:rsid w:val="39B822CE"/>
    <w:rsid w:val="3AAA1C17"/>
    <w:rsid w:val="3D1B32A0"/>
    <w:rsid w:val="3D6764E5"/>
    <w:rsid w:val="3E5C147A"/>
    <w:rsid w:val="3E693B97"/>
    <w:rsid w:val="3EE55913"/>
    <w:rsid w:val="418C02C8"/>
    <w:rsid w:val="41C31810"/>
    <w:rsid w:val="44315157"/>
    <w:rsid w:val="4464552C"/>
    <w:rsid w:val="44B535A5"/>
    <w:rsid w:val="47571378"/>
    <w:rsid w:val="48233009"/>
    <w:rsid w:val="4C2D08FA"/>
    <w:rsid w:val="4D553C64"/>
    <w:rsid w:val="4E3C6544"/>
    <w:rsid w:val="500656EA"/>
    <w:rsid w:val="5033455E"/>
    <w:rsid w:val="531404DE"/>
    <w:rsid w:val="532076DA"/>
    <w:rsid w:val="55C23E61"/>
    <w:rsid w:val="58507E4A"/>
    <w:rsid w:val="59425701"/>
    <w:rsid w:val="59E06FAB"/>
    <w:rsid w:val="5A283E83"/>
    <w:rsid w:val="5AD47557"/>
    <w:rsid w:val="5C9127DF"/>
    <w:rsid w:val="5D557CB0"/>
    <w:rsid w:val="5E3C31EF"/>
    <w:rsid w:val="5F5A7800"/>
    <w:rsid w:val="5FAA42E4"/>
    <w:rsid w:val="614E5143"/>
    <w:rsid w:val="627B1F67"/>
    <w:rsid w:val="63E3544C"/>
    <w:rsid w:val="65F37C32"/>
    <w:rsid w:val="669B6734"/>
    <w:rsid w:val="66BC2B4E"/>
    <w:rsid w:val="67BE721E"/>
    <w:rsid w:val="688E4077"/>
    <w:rsid w:val="698E2580"/>
    <w:rsid w:val="6A9811DC"/>
    <w:rsid w:val="6DA265FA"/>
    <w:rsid w:val="6FB6638D"/>
    <w:rsid w:val="70D023E7"/>
    <w:rsid w:val="716A7BCC"/>
    <w:rsid w:val="732D105C"/>
    <w:rsid w:val="737F73DD"/>
    <w:rsid w:val="74A30DC0"/>
    <w:rsid w:val="74E03EAC"/>
    <w:rsid w:val="750B7C0C"/>
    <w:rsid w:val="75954C96"/>
    <w:rsid w:val="768144ED"/>
    <w:rsid w:val="77004391"/>
    <w:rsid w:val="787D213D"/>
    <w:rsid w:val="79E461EC"/>
    <w:rsid w:val="7F14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2314</Words>
  <Characters>2973</Characters>
  <Lines>293</Lines>
  <Paragraphs>320</Paragraphs>
  <TotalTime>2</TotalTime>
  <ScaleCrop>false</ScaleCrop>
  <LinksUpToDate>false</LinksUpToDate>
  <CharactersWithSpaces>3099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2026-03-09T23:50:49Z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