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893CB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46708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B3EDBE9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3705"/>
      <w:bookmarkStart w:id="1" w:name="_Toc26000"/>
      <w:r>
        <w:rPr>
          <w:rFonts w:hint="eastAsia"/>
          <w:lang w:val="en-US" w:eastAsia="zh-CN"/>
        </w:rPr>
        <w:t>陕西益利德软件科技有限公司</w:t>
      </w:r>
      <w:bookmarkEnd w:id="0"/>
      <w:bookmarkEnd w:id="1"/>
    </w:p>
    <w:p w14:paraId="7D2CD10E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25751"/>
      <w:bookmarkStart w:id="3" w:name="_Toc26576"/>
      <w:r>
        <w:rPr>
          <w:rFonts w:hint="eastAsia"/>
          <w:lang w:val="en-US" w:eastAsia="zh-CN"/>
        </w:rPr>
        <w:t>运维工具管理制度</w:t>
      </w:r>
      <w:bookmarkEnd w:id="2"/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7AAE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21A582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0A1DD61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F9E7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4B35D2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</w:tcPr>
          <w:p w14:paraId="4EAFFD8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4D94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115BCE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 w14:paraId="2A25C58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28A50F6B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7D4BC145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82DA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38C410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B816AF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D2E75D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FD2478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D66CE7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B19232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B8538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F1123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359847D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99332B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9C5E88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048EF02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bookmarkStart w:id="35" w:name="_GoBack"/>
            <w:r>
              <w:rPr>
                <w:rFonts w:hint="eastAsia"/>
                <w:lang w:val="en-US" w:eastAsia="zh-CN"/>
              </w:rPr>
              <w:t>刘钢要</w:t>
            </w:r>
            <w:bookmarkEnd w:id="35"/>
          </w:p>
        </w:tc>
        <w:tc>
          <w:tcPr>
            <w:tcW w:w="1240" w:type="dxa"/>
          </w:tcPr>
          <w:p w14:paraId="310A5AF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2DA423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14721E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761469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0C878A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78FEBD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6469FD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74DBA6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CD81B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633FA7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5647B2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53B3B7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F6F137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88CD1B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3FFEA2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70BC1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B8BB38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436DE9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4D4F61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FA96B8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D86F39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463857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DCE2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14EB2E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9FAD6F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56EFF5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41A11A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591C20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6FDAAD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A1065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1" w:hRule="atLeast"/>
        </w:trPr>
        <w:tc>
          <w:tcPr>
            <w:tcW w:w="1555" w:type="dxa"/>
          </w:tcPr>
          <w:p w14:paraId="34C69E6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B4DBA2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D28704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A0BC69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88B0F6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CAEEF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48DD4B6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159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2B0DDC7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39ED92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_Toc3705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_Toc3705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213881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运维工具管理制度</w:t>
          </w:r>
          <w:r>
            <w:tab/>
          </w:r>
          <w:r>
            <w:fldChar w:fldCharType="begin"/>
          </w:r>
          <w:r>
            <w:instrText xml:space="preserve"> PAGEREF _Toc26576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846BB8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_Toc3552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000C6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16421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_Toc20470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_Toc20470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BBEBD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_Toc23001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13F60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_Toc18565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B2FAA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_Toc28853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交付部</w:t>
          </w:r>
          <w:r>
            <w:tab/>
          </w:r>
          <w:r>
            <w:fldChar w:fldCharType="begin"/>
          </w:r>
          <w:r>
            <w:instrText xml:space="preserve"> PAGEREF _Toc28853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27F86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运维工具分类</w:t>
          </w:r>
          <w:r>
            <w:tab/>
          </w:r>
          <w:r>
            <w:fldChar w:fldCharType="begin"/>
          </w:r>
          <w:r>
            <w:instrText xml:space="preserve"> PAGEREF _Toc4093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E25F2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监控工具</w:t>
          </w:r>
          <w:r>
            <w:tab/>
          </w:r>
          <w:r>
            <w:fldChar w:fldCharType="begin"/>
          </w:r>
          <w:r>
            <w:instrText xml:space="preserve"> PAGEREF _Toc19787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1C813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过程管理工具</w:t>
          </w:r>
          <w:r>
            <w:tab/>
          </w:r>
          <w:r>
            <w:fldChar w:fldCharType="begin"/>
          </w:r>
          <w:r>
            <w:instrText xml:space="preserve"> PAGEREF _Toc23521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B9959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专用工具</w:t>
          </w:r>
          <w:r>
            <w:tab/>
          </w:r>
          <w:r>
            <w:fldChar w:fldCharType="begin"/>
          </w:r>
          <w:r>
            <w:instrText xml:space="preserve"> PAGEREF _Toc21711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F8EA6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_Toc21352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运维工具管理流程</w:t>
          </w:r>
          <w:r>
            <w:tab/>
          </w:r>
          <w:r>
            <w:fldChar w:fldCharType="begin"/>
          </w:r>
          <w:r>
            <w:instrText xml:space="preserve"> PAGEREF _Toc21352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58963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工具需求识别</w:t>
          </w:r>
          <w:r>
            <w:tab/>
          </w:r>
          <w:r>
            <w:fldChar w:fldCharType="begin"/>
          </w:r>
          <w:r>
            <w:instrText xml:space="preserve"> PAGEREF _Toc21796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56761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工具研发（或采购）</w:t>
          </w:r>
          <w:r>
            <w:tab/>
          </w:r>
          <w:r>
            <w:fldChar w:fldCharType="begin"/>
          </w:r>
          <w:r>
            <w:instrText xml:space="preserve"> PAGEREF _Toc27209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A1632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工具管理与推广</w:t>
          </w:r>
          <w:r>
            <w:tab/>
          </w:r>
          <w:r>
            <w:fldChar w:fldCharType="begin"/>
          </w:r>
          <w:r>
            <w:instrText xml:space="preserve"> PAGEREF _Toc25346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F4D8B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工具评估改进</w:t>
          </w:r>
          <w:r>
            <w:tab/>
          </w:r>
          <w:r>
            <w:fldChar w:fldCharType="begin"/>
          </w:r>
          <w:r>
            <w:instrText xml:space="preserve"> PAGEREF _Toc31438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C6EDC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_Toc28208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E9AD8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_Toc24997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94EE0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6F25E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_Toc12549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D74DBB">
          <w:pPr>
            <w:keepNext w:val="0"/>
            <w:keepLines w:val="0"/>
            <w:pageBreakBefore w:val="0"/>
            <w:widowControl w:val="0"/>
            <w:wordWrap/>
            <w:overflowPunct/>
            <w:bidi w:val="0"/>
          </w:pPr>
          <w:r>
            <w:fldChar w:fldCharType="end"/>
          </w:r>
        </w:p>
      </w:sdtContent>
    </w:sdt>
    <w:p w14:paraId="35D8220F">
      <w:pPr>
        <w:keepNext w:val="0"/>
        <w:keepLines w:val="0"/>
        <w:pageBreakBefore w:val="0"/>
        <w:widowControl w:val="0"/>
        <w:wordWrap/>
        <w:overflowPunct/>
        <w:bidi w:val="0"/>
      </w:pPr>
    </w:p>
    <w:p w14:paraId="70113489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C980B72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3552"/>
      <w:bookmarkStart w:id="5" w:name="_Toc28077"/>
      <w:r>
        <w:t>目的</w:t>
      </w:r>
      <w:bookmarkEnd w:id="4"/>
      <w:bookmarkEnd w:id="5"/>
    </w:p>
    <w:p w14:paraId="219A97AF">
      <w:pPr>
        <w:keepNext w:val="0"/>
        <w:keepLines w:val="0"/>
        <w:pageBreakBefore w:val="0"/>
        <w:widowControl w:val="0"/>
        <w:wordWrap/>
        <w:overflowPunct/>
        <w:bidi w:val="0"/>
        <w:spacing w:before="264" w:line="362" w:lineRule="auto"/>
        <w:ind w:left="23" w:right="213" w:firstLine="36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本制度用于规范公司运行维护工具的管理，提高运行维护工具使用率，提高</w:t>
      </w:r>
      <w:r>
        <w:rPr>
          <w:rFonts w:ascii="宋体" w:hAnsi="宋体" w:eastAsia="宋体" w:cs="宋体"/>
          <w:spacing w:val="-2"/>
          <w:sz w:val="24"/>
          <w:szCs w:val="24"/>
        </w:rPr>
        <w:t>运维服务水平。</w:t>
      </w:r>
    </w:p>
    <w:p w14:paraId="02BF0089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14615"/>
      <w:bookmarkStart w:id="7" w:name="_Toc26608"/>
      <w:bookmarkStart w:id="8" w:name="_Toc28579"/>
      <w:r>
        <w:rPr>
          <w:rFonts w:hint="eastAsia"/>
          <w:lang w:val="en-US" w:eastAsia="zh-CN"/>
        </w:rPr>
        <w:t>原则</w:t>
      </w:r>
      <w:bookmarkEnd w:id="6"/>
      <w:bookmarkEnd w:id="7"/>
      <w:bookmarkEnd w:id="8"/>
    </w:p>
    <w:p w14:paraId="39292A8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default"/>
        </w:rPr>
        <w:t>安全可控、流程规范、生命周期管理，旨在确保工具使用的稳定性、安全性和效率。</w:t>
      </w:r>
    </w:p>
    <w:p w14:paraId="0D8BC4ED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9" w:name="_Toc30539"/>
      <w:bookmarkStart w:id="10" w:name="_Toc20470"/>
      <w:r>
        <w:rPr>
          <w:rFonts w:hint="eastAsia"/>
          <w:lang w:val="en-US" w:eastAsia="zh-CN"/>
        </w:rPr>
        <w:t>适用</w:t>
      </w:r>
      <w:r>
        <w:t>范围</w:t>
      </w:r>
      <w:bookmarkEnd w:id="9"/>
      <w:bookmarkEnd w:id="10"/>
    </w:p>
    <w:p w14:paraId="3F91A7C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公司运行维护工具的使用和维护</w:t>
      </w:r>
      <w:r>
        <w:rPr>
          <w:rFonts w:hint="eastAsia" w:ascii="宋体" w:hAnsi="宋体" w:cs="宋体"/>
          <w:spacing w:val="-2"/>
          <w:sz w:val="24"/>
          <w:szCs w:val="24"/>
          <w:lang w:eastAsia="zh-CN"/>
        </w:rPr>
        <w:t>。</w:t>
      </w:r>
    </w:p>
    <w:p w14:paraId="78A90AE8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1" w:name="_Toc7692"/>
      <w:bookmarkStart w:id="12" w:name="_Toc23001"/>
      <w:r>
        <w:rPr>
          <w:rFonts w:hint="eastAsia"/>
          <w:lang w:val="en-US" w:eastAsia="zh-CN"/>
        </w:rPr>
        <w:t>岗位职责</w:t>
      </w:r>
      <w:bookmarkEnd w:id="11"/>
      <w:bookmarkEnd w:id="12"/>
    </w:p>
    <w:p w14:paraId="4A144184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18565"/>
      <w:r>
        <w:rPr>
          <w:rFonts w:hint="eastAsia"/>
          <w:lang w:val="en-US" w:eastAsia="zh-CN"/>
        </w:rPr>
        <w:t>研发部</w:t>
      </w:r>
      <w:bookmarkEnd w:id="13"/>
    </w:p>
    <w:p w14:paraId="5B672AA3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运维工具规划、研发，版本管理。</w:t>
      </w:r>
    </w:p>
    <w:p w14:paraId="4AB98FB7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对运维工具的修正和改进。</w:t>
      </w:r>
    </w:p>
    <w:p w14:paraId="3ECA4846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4" w:name="bookmark5"/>
      <w:bookmarkEnd w:id="14"/>
      <w:bookmarkStart w:id="15" w:name="_Toc28853"/>
      <w:r>
        <w:t>交付部</w:t>
      </w:r>
      <w:bookmarkEnd w:id="15"/>
    </w:p>
    <w:p w14:paraId="57D70B5E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运维工具的需求识别、规划。</w:t>
      </w:r>
    </w:p>
    <w:p w14:paraId="6ED20A4E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运维工具的开发、采购立项审批等的申报、跟踪和落实。</w:t>
      </w:r>
    </w:p>
    <w:p w14:paraId="6335C35D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运维工具的测试、试用、推广使用。</w:t>
      </w:r>
    </w:p>
    <w:p w14:paraId="2DD3E328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运维工具缺陷及改进意见提出。</w:t>
      </w:r>
    </w:p>
    <w:p w14:paraId="59F70EBF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各类资源利用的协调平衡及检查、考核工作。</w:t>
      </w:r>
    </w:p>
    <w:p w14:paraId="49EB8AEA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bookmark3"/>
      <w:bookmarkEnd w:id="16"/>
      <w:bookmarkStart w:id="17" w:name="_Toc4093"/>
      <w:bookmarkStart w:id="18" w:name="_Toc17424"/>
      <w:bookmarkStart w:id="19" w:name="_Toc15244"/>
      <w:r>
        <w:rPr>
          <w:rStyle w:val="38"/>
          <w:rFonts w:hint="eastAsia"/>
          <w:lang w:val="en-US" w:eastAsia="zh-CN"/>
        </w:rPr>
        <w:t>运维工具分类</w:t>
      </w:r>
      <w:bookmarkEnd w:id="17"/>
    </w:p>
    <w:p w14:paraId="06EED5B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运维工具根据使用场景分为监控工具、过程管理工具和专用工具</w:t>
      </w:r>
    </w:p>
    <w:p w14:paraId="0EAE7EE9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19787"/>
      <w:r>
        <w:rPr>
          <w:rFonts w:hint="eastAsia"/>
          <w:lang w:val="en-US" w:eastAsia="zh-CN"/>
        </w:rPr>
        <w:t>监控工具</w:t>
      </w:r>
      <w:bookmarkEnd w:id="20"/>
    </w:p>
    <w:p w14:paraId="72D578B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用于对IT基础设施、网络、应用系统及业务状态进行实时数据采集、性能监控与可视化展示，以实现故障预警、性能分析和根源定位。例如：服务器监控系统（Zabbix, Prometheus）、应用性能管理（APM）工具、日志分析平台（ELK Stack）、网络监控软件等。</w:t>
      </w:r>
    </w:p>
    <w:p w14:paraId="6D77C077">
      <w:pPr>
        <w:pStyle w:val="30"/>
        <w:bidi w:val="0"/>
        <w:rPr>
          <w:rFonts w:hint="default"/>
          <w:lang w:val="en-US" w:eastAsia="zh-CN"/>
        </w:rPr>
      </w:pPr>
      <w:bookmarkStart w:id="21" w:name="_Toc23521"/>
      <w:r>
        <w:rPr>
          <w:rFonts w:hint="default"/>
          <w:lang w:val="en-US" w:eastAsia="zh-CN"/>
        </w:rPr>
        <w:t>过程管理工具</w:t>
      </w:r>
      <w:bookmarkEnd w:id="21"/>
    </w:p>
    <w:p w14:paraId="5545C12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支撑和标准化IT服务管理流程，实现运维工作的流程化、自动化和可追溯。例如：IT服务管理（ITSM）/工单系统、配置管理数据库（CMDB）、自动化运维平台、知识库系统以及持续集成/持续部署（CI/CD）工具等。</w:t>
      </w:r>
    </w:p>
    <w:p w14:paraId="24BA0F34">
      <w:pPr>
        <w:pStyle w:val="30"/>
        <w:bidi w:val="0"/>
        <w:rPr>
          <w:rFonts w:hint="default"/>
          <w:lang w:val="en-US" w:eastAsia="zh-CN"/>
        </w:rPr>
      </w:pPr>
      <w:bookmarkStart w:id="22" w:name="_Toc21711"/>
      <w:r>
        <w:rPr>
          <w:rFonts w:hint="default"/>
          <w:lang w:val="en-US" w:eastAsia="zh-CN"/>
        </w:rPr>
        <w:t>专用工具</w:t>
      </w:r>
      <w:bookmarkEnd w:id="22"/>
    </w:p>
    <w:p w14:paraId="0AC78A5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用于解决特定运维场景或技术领域的专项任务，通常功能聚焦。例如：安全漏洞扫描工具、数据备份与恢复软件、数据库管理客户端、专项测试工具及混沌工程平台等。</w:t>
      </w:r>
    </w:p>
    <w:p w14:paraId="4F39A7D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交付部应依据此分类，建立并维护《公司运维工具清单》，作为工具管理的基础。</w:t>
      </w:r>
    </w:p>
    <w:p w14:paraId="70DF1343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3" w:name="_Toc21352"/>
      <w:r>
        <w:rPr>
          <w:rFonts w:hint="eastAsia"/>
          <w:lang w:val="en-US" w:eastAsia="zh-CN"/>
        </w:rPr>
        <w:t>运维工具管理流程</w:t>
      </w:r>
      <w:bookmarkEnd w:id="18"/>
      <w:bookmarkEnd w:id="19"/>
      <w:bookmarkEnd w:id="23"/>
    </w:p>
    <w:p w14:paraId="77E734B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运维工具管理流程如图5-1所示：</w:t>
      </w:r>
    </w:p>
    <w:p w14:paraId="7544BFAC">
      <w:pPr>
        <w:pStyle w:val="29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运维工具管理流程</w:t>
      </w:r>
    </w:p>
    <w:p w14:paraId="0BD2D5B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69913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C039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4" w:name="_Toc21796"/>
      <w:r>
        <w:rPr>
          <w:rFonts w:hint="eastAsia"/>
          <w:lang w:val="en-US" w:eastAsia="zh-CN"/>
        </w:rPr>
        <w:t>工具需求识别</w:t>
      </w:r>
      <w:bookmarkEnd w:id="24"/>
    </w:p>
    <w:p w14:paraId="49534FC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交付部根据公司运维服务战略、运维服务级别协议和运维工作需要，收集、分析、汇总运维工具需求，形成《运维工具需求清单》</w:t>
      </w:r>
    </w:p>
    <w:p w14:paraId="4906B653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5" w:name="_Toc27209"/>
      <w:r>
        <w:rPr>
          <w:rFonts w:hint="eastAsia"/>
          <w:lang w:val="en-US" w:eastAsia="zh-CN"/>
        </w:rPr>
        <w:t>工具研发（或采购）</w:t>
      </w:r>
      <w:bookmarkEnd w:id="25"/>
    </w:p>
    <w:p w14:paraId="590BF151">
      <w:pPr>
        <w:keepNext w:val="0"/>
        <w:keepLines w:val="0"/>
        <w:pageBreakBefore w:val="0"/>
        <w:widowControl w:val="0"/>
        <w:wordWrap/>
        <w:overflowPunct/>
        <w:bidi w:val="0"/>
        <w:spacing w:before="273" w:line="360" w:lineRule="auto"/>
        <w:ind w:left="35" w:right="115" w:firstLine="3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由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研发部</w:t>
      </w:r>
      <w:r>
        <w:rPr>
          <w:rFonts w:ascii="宋体" w:hAnsi="宋体" w:eastAsia="宋体" w:cs="宋体"/>
          <w:spacing w:val="-1"/>
          <w:sz w:val="24"/>
          <w:szCs w:val="24"/>
        </w:rPr>
        <w:t>受理《运维工具需求清单》进行可行性分析，并提交结果至总经办</w:t>
      </w:r>
      <w:r>
        <w:rPr>
          <w:rFonts w:ascii="宋体" w:hAnsi="宋体" w:eastAsia="宋体" w:cs="宋体"/>
          <w:spacing w:val="-2"/>
          <w:sz w:val="24"/>
          <w:szCs w:val="24"/>
        </w:rPr>
        <w:t>审批，明确工具获取方式。</w:t>
      </w:r>
    </w:p>
    <w:p w14:paraId="373F0D30">
      <w:pPr>
        <w:keepNext w:val="0"/>
        <w:keepLines w:val="0"/>
        <w:pageBreakBefore w:val="0"/>
        <w:widowControl w:val="0"/>
        <w:wordWrap/>
        <w:overflowPunct/>
        <w:bidi w:val="0"/>
        <w:spacing w:before="3" w:line="359" w:lineRule="auto"/>
        <w:ind w:left="25" w:firstLine="36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如果工具需要自己开发，则由已确定的研发负责人按照《软件开发管理制度》</w:t>
      </w:r>
      <w:r>
        <w:rPr>
          <w:rFonts w:ascii="宋体" w:hAnsi="宋体" w:eastAsia="宋体" w:cs="宋体"/>
          <w:spacing w:val="-3"/>
          <w:sz w:val="24"/>
          <w:szCs w:val="24"/>
        </w:rPr>
        <w:t>编制《运维工具研发计划》，并按计划进行运维工具的开发，通过测试后移交交付部</w:t>
      </w:r>
      <w:r>
        <w:rPr>
          <w:rFonts w:ascii="宋体" w:hAnsi="宋体" w:eastAsia="宋体" w:cs="宋体"/>
          <w:spacing w:val="-2"/>
          <w:sz w:val="24"/>
          <w:szCs w:val="24"/>
        </w:rPr>
        <w:t>进行试用。</w:t>
      </w:r>
    </w:p>
    <w:p w14:paraId="321769A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如果工具需要外采，则由交付部门编制采购申请，向采购部门提出采购书面</w:t>
      </w:r>
      <w:r>
        <w:rPr>
          <w:rFonts w:ascii="宋体" w:hAnsi="宋体" w:eastAsia="宋体" w:cs="宋体"/>
          <w:spacing w:val="-1"/>
          <w:sz w:val="24"/>
          <w:szCs w:val="24"/>
        </w:rPr>
        <w:t>说明，由采购部门实施采购，交付部门跟踪采购过、程确认采购结果。</w:t>
      </w:r>
    </w:p>
    <w:p w14:paraId="60B98C06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6" w:name="_Toc25346"/>
      <w:r>
        <w:rPr>
          <w:rFonts w:hint="eastAsia"/>
          <w:lang w:val="en-US" w:eastAsia="zh-CN"/>
        </w:rPr>
        <w:t>工具管理与推广</w:t>
      </w:r>
      <w:bookmarkEnd w:id="26"/>
    </w:p>
    <w:p w14:paraId="182E23A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运维工具主要部门是交付部。</w:t>
      </w:r>
    </w:p>
    <w:p w14:paraId="2C75E115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交付部内由各项目按照实际服务需求申请工具使用权限，交付部负责人批准后由工具管理员分配相关权限。</w:t>
      </w:r>
    </w:p>
    <w:p w14:paraId="39178291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运维工程师在使用运维工具的过程中，将发现的缺陷以及对工具的建议及时告知工具管理员，并记录在《运维工具自评估报告》中。</w:t>
      </w:r>
    </w:p>
    <w:p w14:paraId="43DC7C88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7" w:name="_Toc31438"/>
      <w:r>
        <w:rPr>
          <w:rFonts w:hint="eastAsia"/>
          <w:lang w:val="en-US" w:eastAsia="zh-CN"/>
        </w:rPr>
        <w:t>工具评估改进</w:t>
      </w:r>
      <w:bookmarkEnd w:id="27"/>
    </w:p>
    <w:p w14:paraId="4B01FCAA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在运维工具的使用过程中会有需求的变化，在需求变化的时候，</w:t>
      </w:r>
      <w:r>
        <w:rPr>
          <w:rFonts w:hint="eastAsia"/>
          <w:lang w:val="en-US" w:eastAsia="zh-CN"/>
        </w:rPr>
        <w:t>自评估</w:t>
      </w:r>
      <w:r>
        <w:t>工作是确保运维工具具有适应价值的最基本保证，通过组织</w:t>
      </w:r>
      <w:r>
        <w:rPr>
          <w:rFonts w:hint="eastAsia"/>
          <w:lang w:val="en-US" w:eastAsia="zh-CN"/>
        </w:rPr>
        <w:t>管理层</w:t>
      </w:r>
      <w:r>
        <w:t>可确认工具的实际满足程度以及改进方向。</w:t>
      </w:r>
    </w:p>
    <w:p w14:paraId="065D3BCD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交付部门需要每年对运维工具进行应用效果评估，进一步提炼改进需求。运维工具的评估和改进，通过召开评审会议方式进行，交付部主持管理评审会议，相关负责人和有关人员对运维工具的适用性作出评价，交付部对评审内容做出结论，记录在《运维工具自评估报告》中。</w:t>
      </w:r>
    </w:p>
    <w:p w14:paraId="47027D33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8" w:name="_Toc28208"/>
      <w:r>
        <w:rPr>
          <w:rFonts w:hint="eastAsia"/>
          <w:lang w:val="en-US" w:eastAsia="zh-CN"/>
        </w:rPr>
        <w:t>考核指标</w:t>
      </w:r>
      <w:bookmarkEnd w:id="2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192D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874417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7809EF1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42316A7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82B5BB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647E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7ABA8FB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3706" w:type="dxa"/>
            <w:vAlign w:val="center"/>
          </w:tcPr>
          <w:p w14:paraId="6477C2E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1147" w:type="dxa"/>
            <w:vAlign w:val="center"/>
          </w:tcPr>
          <w:p w14:paraId="79E1B39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14B057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</w:t>
            </w:r>
          </w:p>
        </w:tc>
      </w:tr>
    </w:tbl>
    <w:p w14:paraId="739E0D2E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9" w:name="_Toc24997"/>
      <w:r>
        <w:rPr>
          <w:rFonts w:hint="eastAsia"/>
          <w:lang w:val="en-US" w:eastAsia="zh-CN"/>
        </w:rPr>
        <w:t>附则</w:t>
      </w:r>
      <w:bookmarkEnd w:id="29"/>
    </w:p>
    <w:p w14:paraId="572702A6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交付部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701FC91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1C4470E3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bookmark14"/>
      <w:bookmarkEnd w:id="30"/>
      <w:bookmarkStart w:id="31" w:name="_Toc9024"/>
      <w:bookmarkStart w:id="32" w:name="_Toc25763"/>
      <w:r>
        <w:rPr>
          <w:rFonts w:hint="eastAsia"/>
          <w:lang w:val="en-US" w:eastAsia="zh-CN"/>
        </w:rPr>
        <w:t>附件</w:t>
      </w:r>
      <w:bookmarkEnd w:id="31"/>
      <w:bookmarkEnd w:id="32"/>
    </w:p>
    <w:p w14:paraId="34036AB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81237FC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3" w:name="_Toc12549"/>
      <w:bookmarkStart w:id="34" w:name="_Toc8549"/>
      <w:r>
        <w:rPr>
          <w:rFonts w:hint="eastAsia"/>
          <w:lang w:val="en-US" w:eastAsia="zh-CN"/>
        </w:rPr>
        <w:t>记录</w:t>
      </w:r>
      <w:bookmarkEnd w:id="33"/>
      <w:bookmarkEnd w:id="34"/>
    </w:p>
    <w:p w14:paraId="12113DD8">
      <w:pPr>
        <w:keepNext w:val="0"/>
        <w:keepLines w:val="0"/>
        <w:pageBreakBefore w:val="0"/>
        <w:widowControl w:val="0"/>
        <w:wordWrap/>
        <w:overflowPunct/>
        <w:bidi w:val="0"/>
        <w:spacing w:before="271" w:line="220" w:lineRule="auto"/>
        <w:ind w:left="3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《运维工具需求清单》</w:t>
      </w:r>
    </w:p>
    <w:p w14:paraId="2EB6AD8D">
      <w:pPr>
        <w:keepNext w:val="0"/>
        <w:keepLines w:val="0"/>
        <w:pageBreakBefore w:val="0"/>
        <w:widowControl w:val="0"/>
        <w:wordWrap/>
        <w:overflowPunct/>
        <w:bidi w:val="0"/>
        <w:spacing w:before="113" w:line="220" w:lineRule="auto"/>
        <w:ind w:left="3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《运维工具研发计划》</w:t>
      </w:r>
    </w:p>
    <w:p w14:paraId="1D72722F">
      <w:pPr>
        <w:keepNext w:val="0"/>
        <w:keepLines w:val="0"/>
        <w:pageBreakBefore w:val="0"/>
        <w:widowControl w:val="0"/>
        <w:wordWrap/>
        <w:overflowPunct/>
        <w:bidi w:val="0"/>
        <w:spacing w:before="182" w:line="361" w:lineRule="auto"/>
        <w:ind w:left="307" w:right="51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《运维工具应用情况说明》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《运维工具自评估报告》</w:t>
      </w:r>
    </w:p>
    <w:p w14:paraId="5C4ACC7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C1076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16352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CFC285D"/>
    <w:multiLevelType w:val="singleLevel"/>
    <w:tmpl w:val="1CFC28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D5CD4D0"/>
    <w:multiLevelType w:val="singleLevel"/>
    <w:tmpl w:val="6D5CD4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8EA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1573</Words>
  <Characters>1701</Characters>
  <Lines>0</Lines>
  <Paragraphs>0</Paragraphs>
  <TotalTime>1</TotalTime>
  <ScaleCrop>false</ScaleCrop>
  <LinksUpToDate>false</LinksUpToDate>
  <CharactersWithSpaces>1787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2026-03-10T00:01:06Z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