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8692C" w14:textId="77777777" w:rsidR="00A77384" w:rsidRDefault="00000000">
      <w:pPr>
        <w:widowControl w:val="0"/>
        <w:spacing w:before="78" w:line="219" w:lineRule="auto"/>
        <w:ind w:left="25"/>
        <w:rPr>
          <w:rFonts w:ascii="宋体" w:hAnsi="宋体" w:cs="宋体" w:hint="eastAsia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文件编号：ITSS-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eastAsia="zh-CN"/>
        </w:rPr>
        <w:t>10</w:t>
      </w: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eastAsia="zh-CN"/>
        </w:rPr>
        <w:t>2-06</w:t>
      </w:r>
    </w:p>
    <w:p w14:paraId="7277769A" w14:textId="77777777" w:rsidR="00A77384" w:rsidRDefault="00000000">
      <w:pPr>
        <w:widowControl w:val="0"/>
        <w:kinsoku/>
        <w:autoSpaceDE/>
        <w:autoSpaceDN/>
        <w:adjustRightInd/>
        <w:snapToGrid/>
        <w:spacing w:afterLines="1000" w:after="3120" w:line="219" w:lineRule="auto"/>
        <w:ind w:left="23"/>
        <w:textAlignment w:val="auto"/>
        <w:rPr>
          <w:rFonts w:ascii="宋体" w:hAnsi="宋体" w:cs="宋体" w:hint="eastAsia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6C0DE5EF" w14:textId="77777777" w:rsidR="00A77384" w:rsidRDefault="00000000">
      <w:pPr>
        <w:pStyle w:val="ab"/>
        <w:widowControl w:val="0"/>
        <w:spacing w:after="1872"/>
        <w:rPr>
          <w:lang w:eastAsia="zh-CN"/>
        </w:rPr>
      </w:pPr>
      <w:bookmarkStart w:id="0" w:name="_Toc20834"/>
      <w:bookmarkStart w:id="1" w:name="_Toc30823"/>
      <w:r>
        <w:rPr>
          <w:lang w:eastAsia="zh-CN"/>
        </w:rPr>
        <w:t>陕西益利德软件科技有限公司</w:t>
      </w:r>
      <w:bookmarkEnd w:id="0"/>
      <w:bookmarkEnd w:id="1"/>
    </w:p>
    <w:p w14:paraId="6C3AE28E" w14:textId="77777777" w:rsidR="00A77384" w:rsidRDefault="00000000">
      <w:pPr>
        <w:pStyle w:val="ac"/>
        <w:widowControl w:val="0"/>
        <w:spacing w:after="2808"/>
        <w:rPr>
          <w:rFonts w:hint="eastAsia"/>
          <w:lang w:eastAsia="zh-CN"/>
        </w:rPr>
      </w:pPr>
      <w:bookmarkStart w:id="2" w:name="_Toc20245"/>
      <w:bookmarkStart w:id="3" w:name="_Toc30782"/>
      <w:r>
        <w:rPr>
          <w:rFonts w:hint="eastAsia"/>
          <w:lang w:eastAsia="zh-CN"/>
        </w:rPr>
        <w:t>烟台林海嵎峡田综合体智慧农业大数据平台建设项目-</w:t>
      </w:r>
      <w:bookmarkEnd w:id="2"/>
      <w:r>
        <w:rPr>
          <w:rFonts w:hint="eastAsia"/>
          <w:lang w:eastAsia="zh-CN"/>
        </w:rPr>
        <w:t>应急演练报告</w:t>
      </w:r>
      <w:bookmarkEnd w:id="3"/>
    </w:p>
    <w:tbl>
      <w:tblPr>
        <w:tblStyle w:val="a9"/>
        <w:tblW w:w="0" w:type="auto"/>
        <w:tblInd w:w="244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747"/>
        <w:gridCol w:w="4116"/>
      </w:tblGrid>
      <w:tr w:rsidR="00A77384" w14:paraId="11C47257" w14:textId="77777777">
        <w:trPr>
          <w:trHeight w:val="810"/>
        </w:trPr>
        <w:tc>
          <w:tcPr>
            <w:tcW w:w="1818" w:type="dxa"/>
          </w:tcPr>
          <w:p w14:paraId="2A124E9C" w14:textId="77777777" w:rsidR="00A77384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编制人</w:t>
            </w:r>
            <w:r>
              <w:rPr>
                <w:rFonts w:asciiTheme="minorHAnsi" w:eastAsiaTheme="minorEastAsia" w:hAnsiTheme="minorHAnsi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孙光莉</w:t>
            </w:r>
          </w:p>
        </w:tc>
        <w:tc>
          <w:tcPr>
            <w:tcW w:w="4261" w:type="dxa"/>
          </w:tcPr>
          <w:p w14:paraId="1B5E753D" w14:textId="25ACC3BA" w:rsidR="00A77384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asciiTheme="minorHAnsi" w:eastAsiaTheme="minorEastAsia" w:hAnsiTheme="minorHAnsi" w:hint="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</w:t>
            </w:r>
            <w:r w:rsidR="00070B1E">
              <w:rPr>
                <w:rFonts w:hint="eastAsia"/>
                <w:u w:val="single"/>
                <w:lang w:eastAsia="zh-CN"/>
              </w:rPr>
              <w:t>12</w:t>
            </w:r>
            <w:r>
              <w:rPr>
                <w:rFonts w:hint="eastAsia"/>
                <w:u w:val="single"/>
                <w:lang w:eastAsia="zh-CN"/>
              </w:rPr>
              <w:t>.18</w:t>
            </w:r>
          </w:p>
        </w:tc>
      </w:tr>
      <w:tr w:rsidR="00A77384" w14:paraId="31DAC455" w14:textId="77777777">
        <w:trPr>
          <w:trHeight w:val="810"/>
        </w:trPr>
        <w:tc>
          <w:tcPr>
            <w:tcW w:w="1818" w:type="dxa"/>
          </w:tcPr>
          <w:p w14:paraId="38632A87" w14:textId="77777777" w:rsidR="00A77384" w:rsidRDefault="00000000">
            <w:pPr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审核人</w:t>
            </w:r>
            <w:r>
              <w:rPr>
                <w:rFonts w:asciiTheme="minorHAnsi" w:eastAsiaTheme="minorEastAsia" w:hAnsiTheme="minorHAnsi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严长运</w:t>
            </w:r>
          </w:p>
        </w:tc>
        <w:tc>
          <w:tcPr>
            <w:tcW w:w="4261" w:type="dxa"/>
          </w:tcPr>
          <w:p w14:paraId="4F635C5A" w14:textId="3BBA0033" w:rsidR="00A77384" w:rsidRDefault="00000000">
            <w:pPr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asciiTheme="minorHAnsi" w:eastAsiaTheme="minorEastAsia" w:hAnsiTheme="minorHAnsi" w:hint="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</w:t>
            </w:r>
            <w:r w:rsidR="00070B1E">
              <w:rPr>
                <w:rFonts w:hint="eastAsia"/>
                <w:u w:val="single"/>
                <w:lang w:eastAsia="zh-CN"/>
              </w:rPr>
              <w:t>12</w:t>
            </w:r>
            <w:r>
              <w:rPr>
                <w:rFonts w:hint="eastAsia"/>
                <w:u w:val="single"/>
                <w:lang w:eastAsia="zh-CN"/>
              </w:rPr>
              <w:t>.18</w:t>
            </w:r>
          </w:p>
        </w:tc>
      </w:tr>
      <w:tr w:rsidR="00A77384" w14:paraId="49809524" w14:textId="77777777">
        <w:trPr>
          <w:trHeight w:val="635"/>
        </w:trPr>
        <w:tc>
          <w:tcPr>
            <w:tcW w:w="1818" w:type="dxa"/>
          </w:tcPr>
          <w:p w14:paraId="30AAD057" w14:textId="77777777" w:rsidR="00A77384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批准人</w:t>
            </w:r>
            <w:r>
              <w:rPr>
                <w:rFonts w:asciiTheme="minorHAnsi" w:eastAsiaTheme="minorEastAsia" w:hAnsiTheme="minorHAnsi" w:hint="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鲁玉锋</w:t>
            </w:r>
          </w:p>
        </w:tc>
        <w:tc>
          <w:tcPr>
            <w:tcW w:w="4261" w:type="dxa"/>
          </w:tcPr>
          <w:p w14:paraId="24075CD1" w14:textId="5AB5D80A" w:rsidR="00A77384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审批时间</w:t>
            </w:r>
            <w:r>
              <w:rPr>
                <w:rFonts w:asciiTheme="minorHAnsi" w:eastAsiaTheme="minorEastAsia" w:hAnsiTheme="minorHAnsi" w:hint="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</w:t>
            </w:r>
            <w:r w:rsidR="00070B1E">
              <w:rPr>
                <w:rFonts w:hint="eastAsia"/>
                <w:u w:val="single"/>
                <w:lang w:eastAsia="zh-CN"/>
              </w:rPr>
              <w:t>12</w:t>
            </w:r>
            <w:r>
              <w:rPr>
                <w:rFonts w:hint="eastAsia"/>
                <w:u w:val="single"/>
                <w:lang w:eastAsia="zh-CN"/>
              </w:rPr>
              <w:t>.18</w:t>
            </w:r>
          </w:p>
        </w:tc>
      </w:tr>
    </w:tbl>
    <w:p w14:paraId="64E67066" w14:textId="77777777" w:rsidR="00A77384" w:rsidRDefault="00000000">
      <w:pPr>
        <w:widowControl w:val="0"/>
      </w:pPr>
      <w:r>
        <w:lastRenderedPageBreak/>
        <w:br w:type="page"/>
      </w:r>
    </w:p>
    <w:p w14:paraId="7772EF97" w14:textId="77777777" w:rsidR="00A77384" w:rsidRDefault="00000000">
      <w:pPr>
        <w:widowControl w:val="0"/>
        <w:spacing w:before="153" w:line="225" w:lineRule="auto"/>
        <w:ind w:left="3634"/>
        <w:rPr>
          <w:rFonts w:ascii="宋体" w:hAnsi="宋体" w:cs="宋体" w:hint="eastAsia"/>
          <w:sz w:val="31"/>
          <w:szCs w:val="31"/>
        </w:rPr>
      </w:pPr>
      <w:r>
        <w:rPr>
          <w:rFonts w:ascii="宋体" w:hAnsi="宋体" w:cs="宋体"/>
          <w:b/>
          <w:bCs/>
          <w:spacing w:val="4"/>
          <w:sz w:val="31"/>
          <w:szCs w:val="31"/>
        </w:rPr>
        <w:lastRenderedPageBreak/>
        <w:t>修订记录</w:t>
      </w:r>
    </w:p>
    <w:tbl>
      <w:tblPr>
        <w:tblStyle w:val="TableNormal0"/>
        <w:tblW w:w="8301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919"/>
        <w:gridCol w:w="2289"/>
        <w:gridCol w:w="1148"/>
        <w:gridCol w:w="1150"/>
        <w:gridCol w:w="1240"/>
      </w:tblGrid>
      <w:tr w:rsidR="00A77384" w14:paraId="49CFDD63" w14:textId="77777777">
        <w:trPr>
          <w:trHeight w:val="593"/>
        </w:trPr>
        <w:tc>
          <w:tcPr>
            <w:tcW w:w="1555" w:type="dxa"/>
          </w:tcPr>
          <w:p w14:paraId="0F5E5B56" w14:textId="77777777" w:rsidR="00A77384" w:rsidRDefault="00000000">
            <w:pPr>
              <w:widowControl w:val="0"/>
              <w:spacing w:before="176" w:line="228" w:lineRule="auto"/>
              <w:ind w:left="607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31E29FE0" w14:textId="77777777" w:rsidR="00A77384" w:rsidRDefault="00000000">
            <w:pPr>
              <w:widowControl w:val="0"/>
              <w:spacing w:before="175" w:line="227" w:lineRule="auto"/>
              <w:ind w:left="253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5E1C1F9A" w14:textId="77777777" w:rsidR="00A77384" w:rsidRDefault="00000000">
            <w:pPr>
              <w:widowControl w:val="0"/>
              <w:spacing w:before="175" w:line="228" w:lineRule="auto"/>
              <w:ind w:left="730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77F53EDE" w14:textId="77777777" w:rsidR="00A77384" w:rsidRDefault="00000000">
            <w:pPr>
              <w:widowControl w:val="0"/>
              <w:spacing w:before="175" w:line="228" w:lineRule="auto"/>
              <w:ind w:left="310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1679C862" w14:textId="77777777" w:rsidR="00A77384" w:rsidRDefault="00000000">
            <w:pPr>
              <w:widowControl w:val="0"/>
              <w:spacing w:before="175" w:line="228" w:lineRule="auto"/>
              <w:ind w:left="310"/>
              <w:rPr>
                <w:rFonts w:ascii="宋体" w:hAnsi="宋体" w:cs="宋体" w:hint="eastAsia"/>
                <w:spacing w:val="6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59090349" w14:textId="77777777" w:rsidR="00A77384" w:rsidRDefault="00000000">
            <w:pPr>
              <w:widowControl w:val="0"/>
              <w:spacing w:before="176" w:line="229" w:lineRule="auto"/>
              <w:ind w:left="311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 w:rsidR="00A77384" w14:paraId="6E4A4107" w14:textId="77777777">
        <w:trPr>
          <w:trHeight w:val="556"/>
        </w:trPr>
        <w:tc>
          <w:tcPr>
            <w:tcW w:w="1555" w:type="dxa"/>
          </w:tcPr>
          <w:p w14:paraId="466CFEF3" w14:textId="0ABE9FA4" w:rsidR="00A77384" w:rsidRDefault="00000000">
            <w:pPr>
              <w:widowControl w:val="0"/>
              <w:spacing w:before="173" w:line="267" w:lineRule="exact"/>
              <w:ind w:left="260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2025.</w:t>
            </w:r>
            <w:r w:rsidR="00070B1E"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eastAsia="zh-CN"/>
              </w:rPr>
              <w:t>12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eastAsia="zh-CN"/>
              </w:rPr>
              <w:t>18</w:t>
            </w:r>
          </w:p>
        </w:tc>
        <w:tc>
          <w:tcPr>
            <w:tcW w:w="919" w:type="dxa"/>
          </w:tcPr>
          <w:p w14:paraId="5E7D7DE7" w14:textId="77777777" w:rsidR="00A77384" w:rsidRDefault="00000000">
            <w:pPr>
              <w:widowControl w:val="0"/>
              <w:spacing w:before="173" w:line="267" w:lineRule="exact"/>
              <w:ind w:left="248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0F53E7A7" w14:textId="77777777" w:rsidR="00A77384" w:rsidRDefault="00000000">
            <w:pPr>
              <w:widowControl w:val="0"/>
              <w:spacing w:before="172" w:line="228" w:lineRule="auto"/>
              <w:ind w:left="114"/>
              <w:jc w:val="center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20EAB841" w14:textId="77777777" w:rsidR="00A77384" w:rsidRDefault="00000000">
            <w:pPr>
              <w:widowControl w:val="0"/>
              <w:spacing w:before="172" w:line="228" w:lineRule="auto"/>
              <w:ind w:left="313"/>
              <w:rPr>
                <w:rFonts w:ascii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孙光莉</w:t>
            </w:r>
          </w:p>
        </w:tc>
        <w:tc>
          <w:tcPr>
            <w:tcW w:w="1150" w:type="dxa"/>
          </w:tcPr>
          <w:p w14:paraId="67AB4D22" w14:textId="77777777" w:rsidR="00A77384" w:rsidRDefault="00000000">
            <w:pPr>
              <w:widowControl w:val="0"/>
              <w:spacing w:before="172" w:line="228" w:lineRule="auto"/>
              <w:ind w:left="313"/>
              <w:rPr>
                <w:rFonts w:ascii="宋体" w:hAnsi="宋体" w:cs="宋体" w:hint="eastAsia"/>
                <w:spacing w:val="5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5"/>
                <w:sz w:val="20"/>
                <w:szCs w:val="20"/>
                <w:lang w:eastAsia="zh-CN"/>
              </w:rPr>
              <w:t>严长运</w:t>
            </w:r>
          </w:p>
        </w:tc>
        <w:tc>
          <w:tcPr>
            <w:tcW w:w="1240" w:type="dxa"/>
          </w:tcPr>
          <w:p w14:paraId="31BB020B" w14:textId="77777777" w:rsidR="00A77384" w:rsidRDefault="00000000">
            <w:pPr>
              <w:widowControl w:val="0"/>
              <w:spacing w:before="173" w:line="229" w:lineRule="auto"/>
              <w:ind w:left="314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6"/>
                <w:sz w:val="20"/>
                <w:szCs w:val="20"/>
                <w:lang w:eastAsia="zh-CN"/>
              </w:rPr>
              <w:t>鲁玉锋</w:t>
            </w:r>
          </w:p>
        </w:tc>
      </w:tr>
      <w:tr w:rsidR="00A77384" w14:paraId="23D3BE49" w14:textId="77777777">
        <w:trPr>
          <w:trHeight w:val="556"/>
        </w:trPr>
        <w:tc>
          <w:tcPr>
            <w:tcW w:w="1555" w:type="dxa"/>
          </w:tcPr>
          <w:p w14:paraId="31AD8C00" w14:textId="77777777" w:rsidR="00A77384" w:rsidRDefault="00A77384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69E0A98C" w14:textId="77777777" w:rsidR="00A77384" w:rsidRDefault="00A77384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6AD55FFC" w14:textId="77777777" w:rsidR="00A77384" w:rsidRDefault="00A77384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16D0379E" w14:textId="77777777" w:rsidR="00A77384" w:rsidRDefault="00A77384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4CF25F9F" w14:textId="77777777" w:rsidR="00A77384" w:rsidRDefault="00A77384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094B2B96" w14:textId="77777777" w:rsidR="00A77384" w:rsidRDefault="00A77384">
            <w:pPr>
              <w:pStyle w:val="TableText"/>
              <w:widowControl w:val="0"/>
              <w:rPr>
                <w:rFonts w:hint="eastAsia"/>
              </w:rPr>
            </w:pPr>
          </w:p>
        </w:tc>
      </w:tr>
      <w:tr w:rsidR="00A77384" w14:paraId="629020E5" w14:textId="77777777">
        <w:trPr>
          <w:trHeight w:val="556"/>
        </w:trPr>
        <w:tc>
          <w:tcPr>
            <w:tcW w:w="1555" w:type="dxa"/>
          </w:tcPr>
          <w:p w14:paraId="0D37B11E" w14:textId="77777777" w:rsidR="00A77384" w:rsidRDefault="00A77384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2C928106" w14:textId="77777777" w:rsidR="00A77384" w:rsidRDefault="00A77384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0B6C94B5" w14:textId="77777777" w:rsidR="00A77384" w:rsidRDefault="00A77384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5F9188D8" w14:textId="77777777" w:rsidR="00A77384" w:rsidRDefault="00A77384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6D3B9CEF" w14:textId="77777777" w:rsidR="00A77384" w:rsidRDefault="00A77384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23006E31" w14:textId="77777777" w:rsidR="00A77384" w:rsidRDefault="00A77384">
            <w:pPr>
              <w:pStyle w:val="TableText"/>
              <w:widowControl w:val="0"/>
              <w:rPr>
                <w:rFonts w:hint="eastAsia"/>
              </w:rPr>
            </w:pPr>
          </w:p>
        </w:tc>
      </w:tr>
      <w:tr w:rsidR="00A77384" w14:paraId="1E7C3EC8" w14:textId="77777777">
        <w:trPr>
          <w:trHeight w:val="557"/>
        </w:trPr>
        <w:tc>
          <w:tcPr>
            <w:tcW w:w="1555" w:type="dxa"/>
          </w:tcPr>
          <w:p w14:paraId="4E4ADBE4" w14:textId="77777777" w:rsidR="00A77384" w:rsidRDefault="00A77384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28E2867B" w14:textId="77777777" w:rsidR="00A77384" w:rsidRDefault="00A77384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154DEF8F" w14:textId="77777777" w:rsidR="00A77384" w:rsidRDefault="00A77384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69EBF060" w14:textId="77777777" w:rsidR="00A77384" w:rsidRDefault="00A77384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1B719241" w14:textId="77777777" w:rsidR="00A77384" w:rsidRDefault="00A77384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6F04995C" w14:textId="77777777" w:rsidR="00A77384" w:rsidRDefault="00A77384">
            <w:pPr>
              <w:pStyle w:val="TableText"/>
              <w:widowControl w:val="0"/>
              <w:rPr>
                <w:rFonts w:hint="eastAsia"/>
              </w:rPr>
            </w:pPr>
          </w:p>
        </w:tc>
      </w:tr>
      <w:tr w:rsidR="00A77384" w14:paraId="047ABC86" w14:textId="77777777">
        <w:trPr>
          <w:trHeight w:val="556"/>
        </w:trPr>
        <w:tc>
          <w:tcPr>
            <w:tcW w:w="1555" w:type="dxa"/>
          </w:tcPr>
          <w:p w14:paraId="1F8148EA" w14:textId="77777777" w:rsidR="00A77384" w:rsidRDefault="00A77384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3DD6ECB5" w14:textId="77777777" w:rsidR="00A77384" w:rsidRDefault="00A77384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7943C254" w14:textId="77777777" w:rsidR="00A77384" w:rsidRDefault="00A77384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378303E8" w14:textId="77777777" w:rsidR="00A77384" w:rsidRDefault="00A77384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3839AAA2" w14:textId="77777777" w:rsidR="00A77384" w:rsidRDefault="00A77384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1753CA0B" w14:textId="77777777" w:rsidR="00A77384" w:rsidRDefault="00A77384">
            <w:pPr>
              <w:pStyle w:val="TableText"/>
              <w:widowControl w:val="0"/>
              <w:rPr>
                <w:rFonts w:hint="eastAsia"/>
              </w:rPr>
            </w:pPr>
          </w:p>
        </w:tc>
      </w:tr>
      <w:tr w:rsidR="00A77384" w14:paraId="56D8319F" w14:textId="77777777">
        <w:trPr>
          <w:trHeight w:val="561"/>
        </w:trPr>
        <w:tc>
          <w:tcPr>
            <w:tcW w:w="1555" w:type="dxa"/>
          </w:tcPr>
          <w:p w14:paraId="739F20D1" w14:textId="77777777" w:rsidR="00A77384" w:rsidRDefault="00A77384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3ABADE59" w14:textId="77777777" w:rsidR="00A77384" w:rsidRDefault="00A77384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2DF0CFE1" w14:textId="77777777" w:rsidR="00A77384" w:rsidRDefault="00A77384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0A63B286" w14:textId="77777777" w:rsidR="00A77384" w:rsidRDefault="00A77384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2DC4729B" w14:textId="77777777" w:rsidR="00A77384" w:rsidRDefault="00A77384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646D796D" w14:textId="77777777" w:rsidR="00A77384" w:rsidRDefault="00A77384">
            <w:pPr>
              <w:pStyle w:val="TableText"/>
              <w:widowControl w:val="0"/>
              <w:rPr>
                <w:rFonts w:hint="eastAsia"/>
              </w:rPr>
            </w:pPr>
          </w:p>
        </w:tc>
      </w:tr>
    </w:tbl>
    <w:p w14:paraId="3EF49799" w14:textId="77777777" w:rsidR="00A77384" w:rsidRDefault="00000000">
      <w:pPr>
        <w:widowControl w:val="0"/>
      </w:pPr>
      <w:r>
        <w:br w:type="page"/>
      </w:r>
    </w:p>
    <w:sdt>
      <w:sdtPr>
        <w:rPr>
          <w:rFonts w:ascii="宋体" w:hAnsi="宋体"/>
        </w:rPr>
        <w:id w:val="147468666"/>
        <w:docPartObj>
          <w:docPartGallery w:val="Table of Contents"/>
          <w:docPartUnique/>
        </w:docPartObj>
      </w:sdtPr>
      <w:sdtEndPr>
        <w:rPr>
          <w:rFonts w:cs="宋体" w:hint="eastAsia"/>
          <w:sz w:val="24"/>
          <w:szCs w:val="24"/>
        </w:rPr>
      </w:sdtEndPr>
      <w:sdtContent>
        <w:p w14:paraId="4868A591" w14:textId="77777777" w:rsidR="00A77384" w:rsidRDefault="00000000">
          <w:pPr>
            <w:widowControl w:val="0"/>
            <w:spacing w:line="240" w:lineRule="auto"/>
            <w:jc w:val="center"/>
            <w:rPr>
              <w:rFonts w:ascii="宋体" w:hAnsi="宋体" w:cs="宋体" w:hint="eastAsia"/>
              <w:sz w:val="24"/>
              <w:szCs w:val="24"/>
            </w:rPr>
          </w:pPr>
          <w:r>
            <w:rPr>
              <w:rFonts w:ascii="宋体" w:hAnsi="宋体" w:cs="宋体" w:hint="eastAsia"/>
              <w:sz w:val="24"/>
              <w:szCs w:val="24"/>
            </w:rPr>
            <w:t>目录</w:t>
          </w:r>
        </w:p>
        <w:p w14:paraId="71A49579" w14:textId="77777777" w:rsidR="00A77384" w:rsidRDefault="00A77384">
          <w:pPr>
            <w:widowControl w:val="0"/>
            <w:spacing w:line="240" w:lineRule="auto"/>
            <w:jc w:val="center"/>
            <w:rPr>
              <w:rFonts w:ascii="宋体" w:hAnsi="宋体" w:cs="宋体" w:hint="eastAsia"/>
              <w:sz w:val="24"/>
              <w:szCs w:val="24"/>
            </w:rPr>
          </w:pPr>
        </w:p>
        <w:p w14:paraId="52072F14" w14:textId="77777777" w:rsidR="00A77384" w:rsidRDefault="00000000"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hyperlink w:anchor="_Toc30823" w:history="1">
            <w:r>
              <w:rPr>
                <w:rFonts w:hint="eastAsia"/>
                <w:lang w:eastAsia="zh-CN"/>
              </w:rPr>
              <w:t>陕西益利德软件科技有限公司</w:t>
            </w:r>
            <w:r>
              <w:tab/>
            </w:r>
            <w:r>
              <w:fldChar w:fldCharType="begin"/>
            </w:r>
            <w:r>
              <w:instrText xml:space="preserve"> PAGEREF _Toc30823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78A5F04C" w14:textId="77777777" w:rsidR="00A77384" w:rsidRDefault="00000000">
          <w:pPr>
            <w:pStyle w:val="TOC1"/>
            <w:tabs>
              <w:tab w:val="right" w:leader="dot" w:pos="8306"/>
            </w:tabs>
          </w:pPr>
          <w:hyperlink w:anchor="_Toc30782" w:history="1">
            <w:r>
              <w:rPr>
                <w:rFonts w:hint="eastAsia"/>
                <w:lang w:eastAsia="zh-CN"/>
              </w:rPr>
              <w:t>烟台林海嵎峡田综合体智慧农业大数据平台建设项目</w:t>
            </w:r>
            <w:r>
              <w:rPr>
                <w:rFonts w:hint="eastAsia"/>
                <w:lang w:eastAsia="zh-CN"/>
              </w:rPr>
              <w:t>-</w:t>
            </w:r>
            <w:r>
              <w:rPr>
                <w:rFonts w:hint="eastAsia"/>
                <w:lang w:eastAsia="zh-CN"/>
              </w:rPr>
              <w:t>应急演练报告</w:t>
            </w:r>
            <w:r>
              <w:tab/>
            </w:r>
            <w:r>
              <w:fldChar w:fldCharType="begin"/>
            </w:r>
            <w:r>
              <w:instrText xml:space="preserve"> PAGEREF _Toc30782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1100923E" w14:textId="77777777" w:rsidR="00A77384" w:rsidRDefault="00000000">
          <w:pPr>
            <w:pStyle w:val="TOC1"/>
            <w:tabs>
              <w:tab w:val="right" w:leader="dot" w:pos="8306"/>
            </w:tabs>
          </w:pPr>
          <w:hyperlink w:anchor="_Toc12930" w:history="1">
            <w:r>
              <w:rPr>
                <w:lang w:eastAsia="zh-CN"/>
              </w:rPr>
              <w:t xml:space="preserve">1. </w:t>
            </w:r>
            <w:r>
              <w:rPr>
                <w:lang w:eastAsia="zh-CN"/>
              </w:rPr>
              <w:t>摘要</w:t>
            </w:r>
            <w:r>
              <w:tab/>
            </w:r>
            <w:r>
              <w:fldChar w:fldCharType="begin"/>
            </w:r>
            <w:r>
              <w:instrText xml:space="preserve"> PAGEREF _Toc12930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5DF70719" w14:textId="77777777" w:rsidR="00A77384" w:rsidRDefault="00000000">
          <w:pPr>
            <w:pStyle w:val="TOC1"/>
            <w:tabs>
              <w:tab w:val="right" w:leader="dot" w:pos="8306"/>
            </w:tabs>
          </w:pPr>
          <w:hyperlink w:anchor="_Toc32330" w:history="1">
            <w:r>
              <w:rPr>
                <w:lang w:eastAsia="zh-CN"/>
              </w:rPr>
              <w:t xml:space="preserve">2. </w:t>
            </w:r>
            <w:r>
              <w:rPr>
                <w:lang w:eastAsia="zh-CN"/>
              </w:rPr>
              <w:t>演练概况</w:t>
            </w:r>
            <w:r>
              <w:tab/>
            </w:r>
            <w:r>
              <w:fldChar w:fldCharType="begin"/>
            </w:r>
            <w:r>
              <w:instrText xml:space="preserve"> PAGEREF _Toc32330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68D83B39" w14:textId="77777777" w:rsidR="00A77384" w:rsidRDefault="00000000">
          <w:pPr>
            <w:pStyle w:val="TOC1"/>
            <w:tabs>
              <w:tab w:val="right" w:leader="dot" w:pos="8306"/>
            </w:tabs>
          </w:pPr>
          <w:hyperlink w:anchor="_Toc29542" w:history="1">
            <w:r>
              <w:rPr>
                <w:lang w:eastAsia="zh-CN"/>
              </w:rPr>
              <w:t xml:space="preserve">3. </w:t>
            </w:r>
            <w:r>
              <w:rPr>
                <w:lang w:eastAsia="zh-CN"/>
              </w:rPr>
              <w:t>编制依据</w:t>
            </w:r>
            <w:r>
              <w:tab/>
            </w:r>
            <w:r>
              <w:fldChar w:fldCharType="begin"/>
            </w:r>
            <w:r>
              <w:instrText xml:space="preserve"> PAGEREF _Toc29542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4A64DE30" w14:textId="77777777" w:rsidR="00A77384" w:rsidRDefault="00000000">
          <w:pPr>
            <w:pStyle w:val="TOC1"/>
            <w:tabs>
              <w:tab w:val="right" w:leader="dot" w:pos="8306"/>
            </w:tabs>
          </w:pPr>
          <w:hyperlink w:anchor="_Toc29226" w:history="1">
            <w:r>
              <w:rPr>
                <w:lang w:eastAsia="zh-CN"/>
              </w:rPr>
              <w:t xml:space="preserve">4. </w:t>
            </w:r>
            <w:r>
              <w:rPr>
                <w:lang w:eastAsia="zh-CN"/>
              </w:rPr>
              <w:t>演练实施情况回顾</w:t>
            </w:r>
            <w:r>
              <w:tab/>
            </w:r>
            <w:r>
              <w:fldChar w:fldCharType="begin"/>
            </w:r>
            <w:r>
              <w:instrText xml:space="preserve"> PAGEREF _Toc29226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1AACA12B" w14:textId="77777777" w:rsidR="00A77384" w:rsidRDefault="00000000">
          <w:pPr>
            <w:pStyle w:val="TOC1"/>
            <w:tabs>
              <w:tab w:val="right" w:leader="dot" w:pos="8306"/>
            </w:tabs>
          </w:pPr>
          <w:hyperlink w:anchor="_Toc25928" w:history="1">
            <w:r>
              <w:rPr>
                <w:lang w:eastAsia="zh-CN"/>
              </w:rPr>
              <w:t xml:space="preserve">5. </w:t>
            </w:r>
            <w:r>
              <w:rPr>
                <w:rFonts w:hint="eastAsia"/>
                <w:lang w:eastAsia="zh-CN"/>
              </w:rPr>
              <w:t>演练评估与分析</w:t>
            </w:r>
            <w:r>
              <w:tab/>
            </w:r>
            <w:r>
              <w:fldChar w:fldCharType="begin"/>
            </w:r>
            <w:r>
              <w:instrText xml:space="preserve"> PAGEREF _Toc25928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6BAFBE44" w14:textId="77777777" w:rsidR="00A77384" w:rsidRDefault="00000000">
          <w:pPr>
            <w:pStyle w:val="TOC2"/>
            <w:tabs>
              <w:tab w:val="right" w:leader="dot" w:pos="8306"/>
            </w:tabs>
          </w:pPr>
          <w:hyperlink w:anchor="_Toc24730" w:history="1">
            <w:r>
              <w:rPr>
                <w:lang w:eastAsia="zh-CN"/>
              </w:rPr>
              <w:t xml:space="preserve">5.1. </w:t>
            </w:r>
            <w:r>
              <w:rPr>
                <w:rFonts w:hint="eastAsia"/>
                <w:lang w:eastAsia="zh-CN"/>
              </w:rPr>
              <w:t>目标达成情况评估</w:t>
            </w:r>
            <w:r>
              <w:tab/>
            </w:r>
            <w:r>
              <w:fldChar w:fldCharType="begin"/>
            </w:r>
            <w:r>
              <w:instrText xml:space="preserve"> PAGEREF _Toc24730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50233A20" w14:textId="77777777" w:rsidR="00A77384" w:rsidRDefault="00000000">
          <w:pPr>
            <w:pStyle w:val="TOC2"/>
            <w:tabs>
              <w:tab w:val="right" w:leader="dot" w:pos="8306"/>
            </w:tabs>
          </w:pPr>
          <w:hyperlink w:anchor="_Toc18386" w:history="1">
            <w:r>
              <w:rPr>
                <w:lang w:eastAsia="zh-CN"/>
              </w:rPr>
              <w:t xml:space="preserve">5.2. </w:t>
            </w:r>
            <w:r>
              <w:rPr>
                <w:rFonts w:hint="eastAsia"/>
                <w:lang w:eastAsia="zh-CN"/>
              </w:rPr>
              <w:t>关键环节能力评估</w:t>
            </w:r>
            <w:r>
              <w:tab/>
            </w:r>
            <w:r>
              <w:fldChar w:fldCharType="begin"/>
            </w:r>
            <w:r>
              <w:instrText xml:space="preserve"> PAGEREF _Toc18386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7279CE8A" w14:textId="77777777" w:rsidR="00A77384" w:rsidRDefault="00000000">
          <w:pPr>
            <w:pStyle w:val="TOC1"/>
            <w:tabs>
              <w:tab w:val="right" w:leader="dot" w:pos="8306"/>
            </w:tabs>
          </w:pPr>
          <w:hyperlink w:anchor="_Toc16662" w:history="1">
            <w:r>
              <w:rPr>
                <w:lang w:eastAsia="zh-CN"/>
              </w:rPr>
              <w:t xml:space="preserve">6. </w:t>
            </w:r>
            <w:r>
              <w:rPr>
                <w:rFonts w:hint="eastAsia"/>
                <w:lang w:eastAsia="zh-CN"/>
              </w:rPr>
              <w:t>问题与改进</w:t>
            </w:r>
            <w:r>
              <w:tab/>
            </w:r>
            <w:r>
              <w:fldChar w:fldCharType="begin"/>
            </w:r>
            <w:r>
              <w:instrText xml:space="preserve"> PAGEREF _Toc16662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45F57A12" w14:textId="77777777" w:rsidR="00A77384" w:rsidRDefault="00000000">
          <w:pPr>
            <w:widowControl w:val="0"/>
            <w:rPr>
              <w:rFonts w:ascii="宋体" w:hAnsi="宋体" w:cs="宋体" w:hint="eastAsia"/>
              <w:sz w:val="24"/>
              <w:szCs w:val="24"/>
            </w:rPr>
          </w:pPr>
          <w:r>
            <w:rPr>
              <w:rFonts w:ascii="宋体" w:hAnsi="宋体" w:cs="宋体" w:hint="eastAsia"/>
              <w:szCs w:val="24"/>
            </w:rPr>
            <w:fldChar w:fldCharType="end"/>
          </w:r>
        </w:p>
      </w:sdtContent>
    </w:sdt>
    <w:p w14:paraId="7558DAC7" w14:textId="77777777" w:rsidR="00A77384" w:rsidRDefault="00000000">
      <w:pPr>
        <w:widowControl w:val="0"/>
        <w:rPr>
          <w:rFonts w:eastAsia="Arial"/>
        </w:rPr>
      </w:pPr>
      <w:r>
        <w:rPr>
          <w:rFonts w:eastAsia="Arial"/>
        </w:rPr>
        <w:br w:type="page"/>
      </w:r>
    </w:p>
    <w:p w14:paraId="6CCE071E" w14:textId="77777777" w:rsidR="00A77384" w:rsidRDefault="00000000">
      <w:pPr>
        <w:pStyle w:val="10"/>
        <w:rPr>
          <w:lang w:eastAsia="zh-CN"/>
        </w:rPr>
      </w:pPr>
      <w:bookmarkStart w:id="4" w:name="_Toc12930"/>
      <w:r>
        <w:rPr>
          <w:lang w:eastAsia="zh-CN"/>
        </w:rPr>
        <w:lastRenderedPageBreak/>
        <w:t>摘要</w:t>
      </w:r>
      <w:bookmarkEnd w:id="4"/>
    </w:p>
    <w:p w14:paraId="36F3E96F" w14:textId="2FB87792" w:rsidR="00A77384" w:rsidRDefault="00000000">
      <w:pPr>
        <w:pStyle w:val="ad"/>
        <w:ind w:firstLine="480"/>
      </w:pPr>
      <w:r>
        <w:t>本次演练于</w:t>
      </w:r>
      <w:r>
        <w:t>2025</w:t>
      </w:r>
      <w:r>
        <w:t>年</w:t>
      </w:r>
      <w:r w:rsidR="00070B1E">
        <w:rPr>
          <w:rFonts w:hint="eastAsia"/>
        </w:rPr>
        <w:t>12</w:t>
      </w:r>
      <w:r>
        <w:t>月</w:t>
      </w:r>
      <w:r>
        <w:t>15</w:t>
      </w:r>
      <w:r>
        <w:t>日按计划成功实施。演练模拟了</w:t>
      </w:r>
      <w:r>
        <w:t>“</w:t>
      </w:r>
      <w:r>
        <w:t>设备安装触电</w:t>
      </w:r>
      <w:r>
        <w:t>+</w:t>
      </w:r>
      <w:r>
        <w:t>主干光缆中断</w:t>
      </w:r>
      <w:r>
        <w:t>”</w:t>
      </w:r>
      <w:r>
        <w:t>的复合突发事件，全面检验了《项目应急预案》的可行性及各应急小组的协同作战能力。总体来看，演练组织有序、响应迅速、处置有效，基本达到了</w:t>
      </w:r>
      <w:r>
        <w:t>“</w:t>
      </w:r>
      <w:r>
        <w:t>检验预案、磨合机制、锻炼队伍、完善准备</w:t>
      </w:r>
      <w:r>
        <w:t>”</w:t>
      </w:r>
      <w:r>
        <w:t>的预设目标。演练同时暴露了设备性能、流程细节等方面存在的</w:t>
      </w:r>
      <w:r>
        <w:t>3</w:t>
      </w:r>
      <w:r>
        <w:t>项具体问题，并提出相应改进建议。本报告建议批准所述改进项，并据此对应急预案进行针对性修订。</w:t>
      </w:r>
    </w:p>
    <w:p w14:paraId="464F1194" w14:textId="77777777" w:rsidR="00A77384" w:rsidRDefault="00000000">
      <w:pPr>
        <w:pStyle w:val="10"/>
        <w:rPr>
          <w:lang w:eastAsia="zh-CN"/>
        </w:rPr>
      </w:pPr>
      <w:bookmarkStart w:id="5" w:name="_Toc32330"/>
      <w:r>
        <w:rPr>
          <w:lang w:eastAsia="zh-CN"/>
        </w:rPr>
        <w:t>演练概况</w:t>
      </w:r>
      <w:bookmarkEnd w:id="5"/>
    </w:p>
    <w:p w14:paraId="626234D4" w14:textId="77777777" w:rsidR="00A77384" w:rsidRDefault="00000000">
      <w:pPr>
        <w:pStyle w:val="ad"/>
        <w:ind w:firstLine="480"/>
      </w:pPr>
      <w:r>
        <w:t>演练名称：项目现场核心设备安装安全事故暨系统数据链路中断综合应急演练</w:t>
      </w:r>
    </w:p>
    <w:p w14:paraId="6C918F97" w14:textId="31C20901" w:rsidR="00A77384" w:rsidRDefault="00000000">
      <w:pPr>
        <w:pStyle w:val="ad"/>
        <w:ind w:firstLine="480"/>
      </w:pPr>
      <w:r>
        <w:t>演练时间：</w:t>
      </w:r>
      <w:r>
        <w:t>2025</w:t>
      </w:r>
      <w:r>
        <w:t>年</w:t>
      </w:r>
      <w:r w:rsidR="00070B1E">
        <w:rPr>
          <w:rFonts w:hint="eastAsia"/>
        </w:rPr>
        <w:t>12</w:t>
      </w:r>
      <w:r>
        <w:t>月</w:t>
      </w:r>
      <w:r>
        <w:t>15</w:t>
      </w:r>
      <w:r>
        <w:t>日</w:t>
      </w:r>
      <w:r>
        <w:t xml:space="preserve"> 14:00 - 16:30</w:t>
      </w:r>
    </w:p>
    <w:p w14:paraId="273E873F" w14:textId="77777777" w:rsidR="00A77384" w:rsidRDefault="00000000">
      <w:pPr>
        <w:pStyle w:val="ad"/>
        <w:ind w:firstLine="480"/>
      </w:pPr>
      <w:r>
        <w:t>演练地点：山东省烟台市牟平区项目现场</w:t>
      </w:r>
      <w:r>
        <w:t>A</w:t>
      </w:r>
      <w:r>
        <w:t>区</w:t>
      </w:r>
    </w:p>
    <w:p w14:paraId="24D74B3D" w14:textId="77777777" w:rsidR="00A77384" w:rsidRDefault="00000000">
      <w:pPr>
        <w:pStyle w:val="ad"/>
        <w:ind w:firstLine="480"/>
      </w:pPr>
      <w:r>
        <w:t>演练形式：实战综合演练（结合现场模拟与桌面推演）</w:t>
      </w:r>
    </w:p>
    <w:p w14:paraId="726E2458" w14:textId="77777777" w:rsidR="00A77384" w:rsidRDefault="00000000">
      <w:pPr>
        <w:pStyle w:val="ad"/>
        <w:ind w:firstLine="480"/>
      </w:pPr>
      <w:r>
        <w:t>演练级别：项目级（</w:t>
      </w:r>
      <w:r>
        <w:t>II</w:t>
      </w:r>
      <w:r>
        <w:t>级响应）</w:t>
      </w:r>
    </w:p>
    <w:p w14:paraId="06754539" w14:textId="77777777" w:rsidR="00A77384" w:rsidRDefault="00000000">
      <w:pPr>
        <w:pStyle w:val="ad"/>
        <w:ind w:firstLine="480"/>
      </w:pPr>
      <w:r>
        <w:t>参演人员：共计</w:t>
      </w:r>
      <w:r>
        <w:t>22</w:t>
      </w:r>
      <w:r>
        <w:t>人，来自应急管理办公室、勘察测绘院（交付部、研发部）、综合部及甲方代表。</w:t>
      </w:r>
    </w:p>
    <w:p w14:paraId="5BED5BEB" w14:textId="77777777" w:rsidR="00A77384" w:rsidRDefault="00000000">
      <w:pPr>
        <w:pStyle w:val="ad"/>
        <w:ind w:firstLine="480"/>
      </w:pPr>
      <w:r>
        <w:t>模拟场景：在安装核心磁盘阵列时发生人员轻微触电，同时因意外导致</w:t>
      </w:r>
      <w:r>
        <w:t>24</w:t>
      </w:r>
      <w:r>
        <w:t>芯主干光缆受损，造成业务网络中断。</w:t>
      </w:r>
    </w:p>
    <w:p w14:paraId="3BEC39C3" w14:textId="77777777" w:rsidR="00A77384" w:rsidRDefault="00000000">
      <w:pPr>
        <w:pStyle w:val="10"/>
        <w:rPr>
          <w:lang w:eastAsia="zh-CN"/>
        </w:rPr>
      </w:pPr>
      <w:bookmarkStart w:id="6" w:name="_Toc29542"/>
      <w:r>
        <w:rPr>
          <w:lang w:eastAsia="zh-CN"/>
        </w:rPr>
        <w:t>编制依据</w:t>
      </w:r>
      <w:bookmarkEnd w:id="6"/>
    </w:p>
    <w:p w14:paraId="7070BD30" w14:textId="77777777" w:rsidR="00A77384" w:rsidRDefault="00000000">
      <w:pPr>
        <w:pStyle w:val="ad"/>
        <w:ind w:firstLine="480"/>
      </w:pPr>
      <w:r>
        <w:t>《烟台林海嵎峡田综合体智慧农业大数据平台建设项目</w:t>
      </w:r>
      <w:r>
        <w:t>-</w:t>
      </w:r>
      <w:r>
        <w:t>应急预案》</w:t>
      </w:r>
    </w:p>
    <w:p w14:paraId="3016C1FD" w14:textId="77777777" w:rsidR="00A77384" w:rsidRDefault="00000000">
      <w:pPr>
        <w:pStyle w:val="ad"/>
        <w:ind w:firstLine="480"/>
      </w:pPr>
      <w:r>
        <w:t>《烟台林海嵎峡田综合体智慧农业大数据平台建设项目</w:t>
      </w:r>
      <w:r>
        <w:t>-</w:t>
      </w:r>
      <w:r>
        <w:t>应急演练实施方案》</w:t>
      </w:r>
    </w:p>
    <w:p w14:paraId="741CE1F2" w14:textId="77777777" w:rsidR="00A77384" w:rsidRDefault="00000000">
      <w:pPr>
        <w:pStyle w:val="ad"/>
        <w:ind w:firstLine="480"/>
      </w:pPr>
      <w:r>
        <w:t>《烟台林海嵎峡田综合体智慧农业大数据平台建设项目</w:t>
      </w:r>
      <w:r>
        <w:t>-</w:t>
      </w:r>
      <w:r>
        <w:t>应急实施计划》</w:t>
      </w:r>
    </w:p>
    <w:p w14:paraId="1314F55B" w14:textId="77777777" w:rsidR="00A77384" w:rsidRDefault="00000000">
      <w:pPr>
        <w:pStyle w:val="ad"/>
        <w:ind w:firstLine="480"/>
      </w:pPr>
      <w:r>
        <w:t>《烟台林海嵎峡田综合体智慧农业大数据平台建设项目</w:t>
      </w:r>
      <w:r>
        <w:t>-</w:t>
      </w:r>
      <w:r>
        <w:t>应急演练记录》</w:t>
      </w:r>
    </w:p>
    <w:p w14:paraId="26156207" w14:textId="77777777" w:rsidR="00A77384" w:rsidRDefault="00000000">
      <w:pPr>
        <w:pStyle w:val="10"/>
        <w:rPr>
          <w:lang w:eastAsia="zh-CN"/>
        </w:rPr>
      </w:pPr>
      <w:bookmarkStart w:id="7" w:name="_Toc29226"/>
      <w:r>
        <w:rPr>
          <w:lang w:eastAsia="zh-CN"/>
        </w:rPr>
        <w:t>演练实施情况回顾</w:t>
      </w:r>
      <w:bookmarkEnd w:id="7"/>
    </w:p>
    <w:p w14:paraId="1D5E6257" w14:textId="77777777" w:rsidR="00A77384" w:rsidRDefault="00000000">
      <w:pPr>
        <w:pStyle w:val="ad"/>
        <w:ind w:firstLine="480"/>
      </w:pPr>
      <w:r>
        <w:t>演练严格遵循《应急实施计划》设定的流程展开，共分为六个阶段：</w:t>
      </w:r>
    </w:p>
    <w:p w14:paraId="48EF5522" w14:textId="77777777" w:rsidR="00A77384" w:rsidRDefault="00000000">
      <w:pPr>
        <w:pStyle w:val="ad"/>
        <w:ind w:firstLine="480"/>
      </w:pPr>
      <w:r>
        <w:t>初始化与事件触发：各小组准时就位，事件模拟逼真，信息触发准确。</w:t>
      </w:r>
    </w:p>
    <w:p w14:paraId="20A1D5AA" w14:textId="77777777" w:rsidR="00A77384" w:rsidRDefault="00000000">
      <w:pPr>
        <w:pStyle w:val="ad"/>
        <w:ind w:firstLine="480"/>
      </w:pPr>
      <w:r>
        <w:lastRenderedPageBreak/>
        <w:t>信息报告与应急启动：现场至指挥部的信息报告链路通畅，用时约</w:t>
      </w:r>
      <w:r>
        <w:t>5</w:t>
      </w:r>
      <w:r>
        <w:t>分钟，符合预案小于</w:t>
      </w:r>
      <w:r>
        <w:t>30</w:t>
      </w:r>
      <w:r>
        <w:t>分钟的要求；总指挥决策果断，</w:t>
      </w:r>
      <w:r>
        <w:t>II</w:t>
      </w:r>
      <w:r>
        <w:t>级响应启动正确。</w:t>
      </w:r>
    </w:p>
    <w:p w14:paraId="7B8EAC34" w14:textId="77777777" w:rsidR="00A77384" w:rsidRDefault="00000000">
      <w:pPr>
        <w:pStyle w:val="ad"/>
        <w:ind w:firstLine="480"/>
      </w:pPr>
      <w:r>
        <w:t>先期处置：现场组迅速完成模拟断电、警戒、伤员救护，步骤规范；后勤组模拟外部联络流程完整、合规。</w:t>
      </w:r>
    </w:p>
    <w:p w14:paraId="2B7131BD" w14:textId="77777777" w:rsidR="00A77384" w:rsidRDefault="00000000">
      <w:pPr>
        <w:pStyle w:val="ad"/>
        <w:ind w:firstLine="480"/>
      </w:pPr>
      <w:r>
        <w:t>技术研判与协同处置：技术组诊断准确，备件调用流程熟练，并成功完成真实的光缆熔接操作；跨部门（技术、后勤、采购）协同顺畅。</w:t>
      </w:r>
    </w:p>
    <w:p w14:paraId="308DFA66" w14:textId="77777777" w:rsidR="00A77384" w:rsidRDefault="00000000">
      <w:pPr>
        <w:pStyle w:val="ad"/>
        <w:ind w:firstLine="480"/>
      </w:pPr>
      <w:r>
        <w:t>恢复与终止：系统恢复验证报告全面，现场清理及时，响应终止指令清晰。</w:t>
      </w:r>
    </w:p>
    <w:p w14:paraId="51CBF39F" w14:textId="77777777" w:rsidR="00A77384" w:rsidRDefault="00000000">
      <w:pPr>
        <w:pStyle w:val="ad"/>
        <w:ind w:firstLine="480"/>
      </w:pPr>
      <w:r>
        <w:t>总结点评：各小组进行了客观自评，总指挥与甲方代表进行了总结点评。</w:t>
      </w:r>
    </w:p>
    <w:p w14:paraId="184DE911" w14:textId="77777777" w:rsidR="00A77384" w:rsidRDefault="00000000">
      <w:pPr>
        <w:pStyle w:val="10"/>
        <w:rPr>
          <w:lang w:eastAsia="zh-CN"/>
        </w:rPr>
      </w:pPr>
      <w:bookmarkStart w:id="8" w:name="_Toc25928"/>
      <w:r>
        <w:rPr>
          <w:rFonts w:hint="eastAsia"/>
          <w:lang w:eastAsia="zh-CN"/>
        </w:rPr>
        <w:t>演练评估与分析</w:t>
      </w:r>
      <w:bookmarkEnd w:id="8"/>
    </w:p>
    <w:p w14:paraId="7FF2DD88" w14:textId="77777777" w:rsidR="00A77384" w:rsidRDefault="00000000">
      <w:pPr>
        <w:pStyle w:val="20"/>
        <w:rPr>
          <w:lang w:eastAsia="zh-CN"/>
        </w:rPr>
      </w:pPr>
      <w:bookmarkStart w:id="9" w:name="_Toc24730"/>
      <w:r>
        <w:rPr>
          <w:rFonts w:hint="eastAsia"/>
          <w:lang w:eastAsia="zh-CN"/>
        </w:rPr>
        <w:t>目标达成情况评估</w:t>
      </w:r>
      <w:bookmarkEnd w:id="9"/>
    </w:p>
    <w:tbl>
      <w:tblPr>
        <w:tblW w:w="90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7"/>
        <w:gridCol w:w="1332"/>
        <w:gridCol w:w="6635"/>
      </w:tblGrid>
      <w:tr w:rsidR="00A77384" w14:paraId="5896A9DF" w14:textId="77777777">
        <w:trPr>
          <w:tblHeader/>
        </w:trPr>
        <w:tc>
          <w:tcPr>
            <w:tcW w:w="1057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32998A1" w14:textId="77777777" w:rsidR="00A7738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bdr w:val="nil"/>
                <w:lang w:eastAsia="zh-CN"/>
              </w:rPr>
              <w:t>预设目标</w:t>
            </w:r>
          </w:p>
        </w:tc>
        <w:tc>
          <w:tcPr>
            <w:tcW w:w="1332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D11376" w14:textId="77777777" w:rsidR="00A7738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bdr w:val="nil"/>
                <w:lang w:eastAsia="zh-CN"/>
              </w:rPr>
              <w:t>评估结果</w:t>
            </w:r>
          </w:p>
        </w:tc>
        <w:tc>
          <w:tcPr>
            <w:tcW w:w="6635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E44779" w14:textId="77777777" w:rsidR="00A7738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bdr w:val="nil"/>
                <w:lang w:eastAsia="zh-CN"/>
              </w:rPr>
              <w:t>说明</w:t>
            </w:r>
          </w:p>
        </w:tc>
      </w:tr>
      <w:tr w:rsidR="00A77384" w14:paraId="7E63F2CF" w14:textId="77777777">
        <w:tc>
          <w:tcPr>
            <w:tcW w:w="1057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6FFC3B4" w14:textId="77777777" w:rsidR="00A7738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bdr w:val="nil"/>
                <w:lang w:eastAsia="zh-CN"/>
              </w:rPr>
              <w:t>检验预案</w:t>
            </w:r>
          </w:p>
        </w:tc>
        <w:tc>
          <w:tcPr>
            <w:tcW w:w="1332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039540" w14:textId="77777777" w:rsidR="00A7738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bdr w:val="nil"/>
                <w:lang w:eastAsia="zh-CN"/>
              </w:rPr>
              <w:t>基本达成</w:t>
            </w:r>
          </w:p>
        </w:tc>
        <w:tc>
          <w:tcPr>
            <w:tcW w:w="6635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D818F51" w14:textId="77777777" w:rsidR="00A7738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预案中的组织架构、响应流程、职责分工在演练中得到有效执行，证明其主体框架科学、可行。</w:t>
            </w:r>
          </w:p>
        </w:tc>
      </w:tr>
      <w:tr w:rsidR="00A77384" w14:paraId="71736CC2" w14:textId="77777777">
        <w:tc>
          <w:tcPr>
            <w:tcW w:w="1057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B66EDFA" w14:textId="77777777" w:rsidR="00A7738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bdr w:val="nil"/>
                <w:lang w:eastAsia="zh-CN"/>
              </w:rPr>
              <w:t>磨合机制</w:t>
            </w:r>
          </w:p>
        </w:tc>
        <w:tc>
          <w:tcPr>
            <w:tcW w:w="1332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C4768D" w14:textId="77777777" w:rsidR="00A7738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bdr w:val="nil"/>
                <w:lang w:eastAsia="zh-CN"/>
              </w:rPr>
              <w:t>良好达成</w:t>
            </w:r>
          </w:p>
        </w:tc>
        <w:tc>
          <w:tcPr>
            <w:tcW w:w="6635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A04B3D3" w14:textId="77777777" w:rsidR="00A7738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各应急小组之间，以及与公司交付部、采购部等常设部门的“平战结合”联动机制运作顺畅，沟通高效。</w:t>
            </w:r>
          </w:p>
        </w:tc>
      </w:tr>
      <w:tr w:rsidR="00A77384" w14:paraId="3D9BA430" w14:textId="77777777">
        <w:tc>
          <w:tcPr>
            <w:tcW w:w="1057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42036C6" w14:textId="77777777" w:rsidR="00A7738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bdr w:val="nil"/>
                <w:lang w:eastAsia="zh-CN"/>
              </w:rPr>
              <w:t>锻炼队伍</w:t>
            </w:r>
          </w:p>
        </w:tc>
        <w:tc>
          <w:tcPr>
            <w:tcW w:w="1332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E24424" w14:textId="77777777" w:rsidR="00A7738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bdr w:val="nil"/>
                <w:lang w:eastAsia="zh-CN"/>
              </w:rPr>
              <w:t>良好达成</w:t>
            </w:r>
          </w:p>
        </w:tc>
        <w:tc>
          <w:tcPr>
            <w:tcW w:w="6635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D5CD673" w14:textId="77777777" w:rsidR="00A7738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参演人员应急意识显著增强，对报告流程、处置措施、自身职责的熟悉度大幅提升，技术队伍实操能力得到验证。</w:t>
            </w:r>
          </w:p>
        </w:tc>
      </w:tr>
      <w:tr w:rsidR="00A77384" w14:paraId="4DBC1C1E" w14:textId="77777777">
        <w:tc>
          <w:tcPr>
            <w:tcW w:w="1057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6F697F0" w14:textId="77777777" w:rsidR="00A7738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bdr w:val="nil"/>
                <w:lang w:eastAsia="zh-CN"/>
              </w:rPr>
              <w:t>完善准备</w:t>
            </w:r>
          </w:p>
        </w:tc>
        <w:tc>
          <w:tcPr>
            <w:tcW w:w="1332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2F8524" w14:textId="77777777" w:rsidR="00A7738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bdr w:val="nil"/>
                <w:lang w:eastAsia="zh-CN"/>
              </w:rPr>
              <w:t>部分达成</w:t>
            </w:r>
          </w:p>
        </w:tc>
        <w:tc>
          <w:tcPr>
            <w:tcW w:w="6635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3137D55" w14:textId="77777777" w:rsidR="00A7738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通讯、物资等常规保障充分，但暴露出特定技术装备（熔接机）的应急准备存在优化空间。</w:t>
            </w:r>
          </w:p>
        </w:tc>
      </w:tr>
    </w:tbl>
    <w:p w14:paraId="448F76A7" w14:textId="77777777" w:rsidR="00A77384" w:rsidRDefault="00000000">
      <w:pPr>
        <w:pStyle w:val="20"/>
        <w:rPr>
          <w:lang w:eastAsia="zh-CN"/>
        </w:rPr>
      </w:pPr>
      <w:bookmarkStart w:id="10" w:name="_Toc18386"/>
      <w:r>
        <w:rPr>
          <w:rFonts w:hint="eastAsia"/>
          <w:lang w:eastAsia="zh-CN"/>
        </w:rPr>
        <w:t>关键环节能力评估</w:t>
      </w:r>
      <w:bookmarkEnd w:id="10"/>
    </w:p>
    <w:p w14:paraId="4EC7B0A5" w14:textId="77777777" w:rsidR="00A77384" w:rsidRDefault="00000000">
      <w:pPr>
        <w:pStyle w:val="ad"/>
        <w:ind w:firstLine="480"/>
      </w:pPr>
      <w:r>
        <w:t>信息流转效率：优秀。从事件发生到核心决策层知晓，用时远低于预案要求，报告内容完整、格式规范。</w:t>
      </w:r>
    </w:p>
    <w:p w14:paraId="5DD08AD2" w14:textId="77777777" w:rsidR="00A77384" w:rsidRDefault="00000000">
      <w:pPr>
        <w:pStyle w:val="ad"/>
        <w:ind w:firstLine="480"/>
      </w:pPr>
      <w:r>
        <w:t>指挥决策效能：优秀。指挥层级清晰，决策点明确，响应级别判定准确。</w:t>
      </w:r>
    </w:p>
    <w:p w14:paraId="246A952C" w14:textId="77777777" w:rsidR="00A77384" w:rsidRDefault="00000000">
      <w:pPr>
        <w:pStyle w:val="ad"/>
        <w:ind w:firstLine="480"/>
      </w:pPr>
      <w:r>
        <w:t>现场处置规范性：良好。先期处置步骤完整，注重安全，符合应急预案及安全规程。</w:t>
      </w:r>
    </w:p>
    <w:p w14:paraId="27E98EA1" w14:textId="77777777" w:rsidR="00A77384" w:rsidRDefault="00000000">
      <w:pPr>
        <w:pStyle w:val="ad"/>
        <w:ind w:firstLine="480"/>
      </w:pPr>
      <w:r>
        <w:lastRenderedPageBreak/>
        <w:t>技术支撑能力：优秀。故障定位准确，方案制定合理，关键抢修技能（光缆熔接）实操成功，体现了扎实的技术能力。</w:t>
      </w:r>
    </w:p>
    <w:p w14:paraId="46118191" w14:textId="77777777" w:rsidR="00A77384" w:rsidRDefault="00000000">
      <w:pPr>
        <w:pStyle w:val="ad"/>
        <w:ind w:firstLine="480"/>
      </w:pPr>
      <w:r>
        <w:t>后勤与协同保障：良好。物资保障到位，通讯畅通，跨部门协作请求能够得到及时响应。</w:t>
      </w:r>
    </w:p>
    <w:p w14:paraId="28A471AB" w14:textId="77777777" w:rsidR="00A77384" w:rsidRDefault="00000000">
      <w:pPr>
        <w:pStyle w:val="10"/>
        <w:rPr>
          <w:lang w:eastAsia="zh-CN"/>
        </w:rPr>
      </w:pPr>
      <w:bookmarkStart w:id="11" w:name="_Toc16662"/>
      <w:r>
        <w:rPr>
          <w:rFonts w:hint="eastAsia"/>
          <w:lang w:eastAsia="zh-CN"/>
        </w:rPr>
        <w:t>问题与改进</w:t>
      </w:r>
      <w:bookmarkEnd w:id="1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"/>
        <w:gridCol w:w="1898"/>
        <w:gridCol w:w="1774"/>
        <w:gridCol w:w="2441"/>
        <w:gridCol w:w="982"/>
        <w:gridCol w:w="787"/>
      </w:tblGrid>
      <w:tr w:rsidR="00A77384" w14:paraId="6A949327" w14:textId="77777777">
        <w:trPr>
          <w:tblHeader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7A9665E" w14:textId="77777777" w:rsidR="00A7738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bdr w:val="nil"/>
                <w:lang w:eastAsia="zh-CN"/>
              </w:rPr>
              <w:t>序号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C8F54C" w14:textId="77777777" w:rsidR="00A7738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bdr w:val="nil"/>
                <w:lang w:eastAsia="zh-CN"/>
              </w:rPr>
              <w:t>问题描述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773395" w14:textId="77777777" w:rsidR="00A7738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bdr w:val="nil"/>
                <w:lang w:eastAsia="zh-CN"/>
              </w:rPr>
              <w:t>根源分析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02C633" w14:textId="77777777" w:rsidR="00A7738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bdr w:val="nil"/>
                <w:lang w:eastAsia="zh-CN"/>
              </w:rPr>
              <w:t>改进建议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7A8204" w14:textId="77777777" w:rsidR="00A7738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bdr w:val="nil"/>
                <w:lang w:eastAsia="zh-CN"/>
              </w:rPr>
              <w:t>责任部门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DADE72" w14:textId="77777777" w:rsidR="00A7738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bdr w:val="nil"/>
                <w:lang w:eastAsia="zh-CN"/>
              </w:rPr>
              <w:t>建议完成时限</w:t>
            </w:r>
          </w:p>
        </w:tc>
      </w:tr>
      <w:tr w:rsidR="00A77384" w14:paraId="45F890E4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0DE33E8" w14:textId="77777777" w:rsidR="00A7738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bdr w:val="nil"/>
                <w:lang w:eastAsia="zh-CN"/>
              </w:rPr>
              <w:t>1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7A24F8" w14:textId="77777777" w:rsidR="00A7738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光缆熔接机预热时间较长（约8分钟），可能影响极端条件下的抢修效率。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E92831" w14:textId="77777777" w:rsidR="00A7738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现有设备技术规格限制，未针对应急场景进行设备选型优化。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B7C16F" w14:textId="77777777" w:rsidR="00A7738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1. 调研并评估快速启动型或冷接技术的可行性。</w:t>
            </w: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br/>
              <w:t>2. 在应急预案中增加“应急设备提前预热”的检查项。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848CCD" w14:textId="77777777" w:rsidR="00A7738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交付部、应急管理办公室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E1A6745" w14:textId="39C3335E" w:rsidR="00A7738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202</w:t>
            </w:r>
            <w:r w:rsidR="00070B1E">
              <w:rPr>
                <w:rFonts w:ascii="Segoe UI" w:eastAsiaTheme="minorEastAsia" w:hAnsi="Segoe UI" w:cs="Segoe UI" w:hint="eastAsia"/>
                <w:sz w:val="18"/>
                <w:szCs w:val="18"/>
                <w:bdr w:val="nil"/>
                <w:lang w:eastAsia="zh-CN"/>
              </w:rPr>
              <w:t>6</w:t>
            </w: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年</w:t>
            </w:r>
            <w:r w:rsidR="00070B1E">
              <w:rPr>
                <w:rFonts w:ascii="Segoe UI" w:eastAsiaTheme="minorEastAsia" w:hAnsi="Segoe UI" w:cs="Segoe UI" w:hint="eastAsia"/>
                <w:sz w:val="18"/>
                <w:szCs w:val="18"/>
                <w:bdr w:val="nil"/>
                <w:lang w:eastAsia="zh-CN"/>
              </w:rPr>
              <w:t>1</w:t>
            </w: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月31日</w:t>
            </w:r>
          </w:p>
        </w:tc>
      </w:tr>
      <w:tr w:rsidR="00A77384" w14:paraId="5EB2F27A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BDB57F6" w14:textId="77777777" w:rsidR="00A7738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bdr w:val="nil"/>
                <w:lang w:eastAsia="zh-CN"/>
              </w:rPr>
              <w:t>2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CA701A" w14:textId="77777777" w:rsidR="00A7738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模拟拨打外部救援电话时，对现场其他非参演人员的告知不够充分。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3B7979" w14:textId="77777777" w:rsidR="00A7738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演练方案中对现场环境管理的细节考虑不足。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B0039B" w14:textId="77777777" w:rsidR="00A7738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未来演练时，在安全交底中明确要求，并使用便携式扬声器或明确标识，向现场所有人员宣告演练状态。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871352" w14:textId="77777777" w:rsidR="00A7738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应急管理办公室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8FD0B9A" w14:textId="77777777" w:rsidR="00A7738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下次演练前</w:t>
            </w:r>
          </w:p>
        </w:tc>
      </w:tr>
      <w:tr w:rsidR="00A77384" w14:paraId="33D6F70D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20D22DE" w14:textId="77777777" w:rsidR="00A7738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bdr w:val="nil"/>
                <w:lang w:eastAsia="zh-CN"/>
              </w:rPr>
              <w:t>3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FF4B62" w14:textId="77777777" w:rsidR="00A7738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技术组接管现场时，与先期处置组的交接流程略显随意，未形成书面记录。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FBB2F1" w14:textId="77777777" w:rsidR="00A7738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预案中对于现场指挥权移交和情况交接的标准化流程规定不够细致。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0C6DD7" w14:textId="77777777" w:rsidR="00A7738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在应急预案的“现场处置”章节，补充制定简明的《现场情况交接单》，并设立固定交接点。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DEA3F9" w14:textId="77777777" w:rsidR="00A7738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应急管理办公室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645839E" w14:textId="2F4A97CC" w:rsidR="00A7738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202</w:t>
            </w:r>
            <w:r w:rsidR="00070B1E">
              <w:rPr>
                <w:rFonts w:ascii="Segoe UI" w:eastAsiaTheme="minorEastAsia" w:hAnsi="Segoe UI" w:cs="Segoe UI" w:hint="eastAsia"/>
                <w:sz w:val="18"/>
                <w:szCs w:val="18"/>
                <w:bdr w:val="nil"/>
                <w:lang w:eastAsia="zh-CN"/>
              </w:rPr>
              <w:t>6</w:t>
            </w: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年</w:t>
            </w:r>
            <w:r w:rsidR="00070B1E">
              <w:rPr>
                <w:rFonts w:ascii="Segoe UI" w:eastAsiaTheme="minorEastAsia" w:hAnsi="Segoe UI" w:cs="Segoe UI" w:hint="eastAsia"/>
                <w:sz w:val="18"/>
                <w:szCs w:val="18"/>
                <w:bdr w:val="nil"/>
                <w:lang w:eastAsia="zh-CN"/>
              </w:rPr>
              <w:t>1</w:t>
            </w:r>
            <w:r>
              <w:rPr>
                <w:rFonts w:ascii="Segoe UI" w:eastAsia="Segoe UI" w:hAnsi="Segoe UI" w:cs="Segoe UI"/>
                <w:sz w:val="18"/>
                <w:szCs w:val="18"/>
                <w:bdr w:val="nil"/>
                <w:lang w:eastAsia="zh-CN"/>
              </w:rPr>
              <w:t>月15日</w:t>
            </w:r>
          </w:p>
        </w:tc>
      </w:tr>
    </w:tbl>
    <w:p w14:paraId="58D07F78" w14:textId="77777777" w:rsidR="00A77384" w:rsidRDefault="00A77384">
      <w:pPr>
        <w:pStyle w:val="ad"/>
        <w:ind w:firstLine="480"/>
      </w:pPr>
    </w:p>
    <w:sectPr w:rsidR="00A77384">
      <w:headerReference w:type="default" r:id="rId7"/>
      <w:pgSz w:w="11906" w:h="16838"/>
      <w:pgMar w:top="1417" w:right="1800" w:bottom="1440" w:left="1800" w:header="1140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90920" w14:textId="77777777" w:rsidR="00D37B68" w:rsidRDefault="00D37B68">
      <w:pPr>
        <w:spacing w:line="240" w:lineRule="auto"/>
      </w:pPr>
      <w:r>
        <w:separator/>
      </w:r>
    </w:p>
  </w:endnote>
  <w:endnote w:type="continuationSeparator" w:id="0">
    <w:p w14:paraId="0EF0CE18" w14:textId="77777777" w:rsidR="00D37B68" w:rsidRDefault="00D37B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BC67B" w14:textId="77777777" w:rsidR="00D37B68" w:rsidRDefault="00D37B68">
      <w:pPr>
        <w:spacing w:line="240" w:lineRule="auto"/>
      </w:pPr>
      <w:r>
        <w:separator/>
      </w:r>
    </w:p>
  </w:footnote>
  <w:footnote w:type="continuationSeparator" w:id="0">
    <w:p w14:paraId="7219CDCE" w14:textId="77777777" w:rsidR="00D37B68" w:rsidRDefault="00D37B6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852B6" w14:textId="77777777" w:rsidR="00A77384" w:rsidRDefault="00000000">
    <w:pPr>
      <w:pStyle w:val="a6"/>
      <w:pBdr>
        <w:bottom w:val="single" w:sz="4" w:space="1" w:color="auto"/>
      </w:pBdr>
      <w:jc w:val="right"/>
      <w:rPr>
        <w:rFonts w:eastAsiaTheme="minorEastAsia"/>
        <w:lang w:eastAsia="zh-CN"/>
      </w:rPr>
    </w:pPr>
    <w:r>
      <w:rPr>
        <w:rFonts w:eastAsiaTheme="minorEastAsia" w:hint="eastAsia"/>
        <w:lang w:eastAsia="zh-CN"/>
      </w:rPr>
      <w:t>陕西益利德软件科技有限公司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E964DCE"/>
    <w:multiLevelType w:val="multilevel"/>
    <w:tmpl w:val="8E964DCE"/>
    <w:lvl w:ilvl="0">
      <w:start w:val="1"/>
      <w:numFmt w:val="decimal"/>
      <w:pStyle w:val="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 w16cid:durableId="775323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embedSystemFonts/>
  <w:bordersDoNotSurroundHeader/>
  <w:bordersDoNotSurroundFooter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384"/>
    <w:rsid w:val="00070B1E"/>
    <w:rsid w:val="009276F1"/>
    <w:rsid w:val="00A77384"/>
    <w:rsid w:val="00D37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C02D23"/>
  <w15:docId w15:val="{CC6D3E37-A49F-4331-B5FF-CA5FC5362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toc 3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cs="Arial"/>
      <w:snapToGrid w:val="0"/>
      <w:color w:val="000000"/>
      <w:sz w:val="21"/>
      <w:szCs w:val="21"/>
      <w:lang w:eastAsia="en-US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3">
    <w:name w:val="heading 3"/>
    <w:basedOn w:val="a"/>
    <w:next w:val="a"/>
    <w:semiHidden/>
    <w:unhideWhenUsed/>
    <w:qFormat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nhideWhenUsed/>
    <w:qFormat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5">
    <w:name w:val="heading 5"/>
    <w:basedOn w:val="a"/>
    <w:next w:val="a"/>
    <w:semiHidden/>
    <w:unhideWhenUsed/>
    <w:qFormat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6">
    <w:name w:val="heading 6"/>
    <w:basedOn w:val="a"/>
    <w:next w:val="a"/>
    <w:semiHidden/>
    <w:unhideWhenUsed/>
    <w:qFormat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7">
    <w:name w:val="heading 7"/>
    <w:basedOn w:val="a"/>
    <w:next w:val="a"/>
    <w:semiHidden/>
    <w:unhideWhenUsed/>
    <w:qFormat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8">
    <w:name w:val="heading 8"/>
    <w:basedOn w:val="a"/>
    <w:next w:val="a"/>
    <w:semiHidden/>
    <w:unhideWhenUsed/>
    <w:qFormat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9">
    <w:name w:val="heading 9"/>
    <w:basedOn w:val="a"/>
    <w:next w:val="a"/>
    <w:semiHidden/>
    <w:unhideWhenUsed/>
    <w:qFormat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</w:style>
  <w:style w:type="paragraph" w:styleId="a4">
    <w:name w:val="Body Text"/>
    <w:basedOn w:val="a"/>
    <w:semiHidden/>
    <w:qFormat/>
    <w:rPr>
      <w:rFonts w:eastAsia="Arial"/>
    </w:rPr>
  </w:style>
  <w:style w:type="paragraph" w:styleId="TOC3">
    <w:name w:val="toc 3"/>
    <w:basedOn w:val="a"/>
    <w:next w:val="a"/>
    <w:qFormat/>
    <w:pPr>
      <w:ind w:leftChars="400" w:left="840"/>
    </w:pPr>
  </w:style>
  <w:style w:type="paragraph" w:styleId="a5">
    <w:name w:val="footer"/>
    <w:basedOn w:val="a"/>
    <w:qFormat/>
    <w:pPr>
      <w:tabs>
        <w:tab w:val="center" w:pos="4153"/>
        <w:tab w:val="right" w:pos="8306"/>
      </w:tabs>
    </w:pPr>
    <w:rPr>
      <w:sz w:val="18"/>
    </w:rPr>
  </w:style>
  <w:style w:type="paragraph" w:styleId="a6">
    <w:name w:val="header"/>
    <w:basedOn w:val="a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TOC1">
    <w:name w:val="toc 1"/>
    <w:basedOn w:val="a"/>
    <w:next w:val="a"/>
    <w:qFormat/>
    <w:rPr>
      <w:rFonts w:eastAsia="Microsoft JhengHei"/>
      <w:sz w:val="24"/>
    </w:rPr>
  </w:style>
  <w:style w:type="paragraph" w:styleId="TOC2">
    <w:name w:val="toc 2"/>
    <w:basedOn w:val="a"/>
    <w:next w:val="a"/>
    <w:qFormat/>
    <w:pPr>
      <w:ind w:leftChars="200" w:left="420"/>
    </w:pPr>
  </w:style>
  <w:style w:type="paragraph" w:styleId="a7">
    <w:name w:val="Normal (Web)"/>
    <w:basedOn w:val="a"/>
    <w:qFormat/>
    <w:rPr>
      <w:sz w:val="24"/>
    </w:rPr>
  </w:style>
  <w:style w:type="paragraph" w:styleId="a8">
    <w:name w:val="Title"/>
    <w:basedOn w:val="a"/>
    <w:qFormat/>
    <w:pPr>
      <w:spacing w:before="240" w:after="60"/>
      <w:jc w:val="center"/>
      <w:outlineLvl w:val="0"/>
    </w:pPr>
    <w:rPr>
      <w:b/>
      <w:sz w:val="32"/>
    </w:rPr>
  </w:style>
  <w:style w:type="table" w:styleId="a9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basedOn w:val="a0"/>
    <w:qFormat/>
    <w:rPr>
      <w:b/>
    </w:rPr>
  </w:style>
  <w:style w:type="paragraph" w:customStyle="1" w:styleId="ab">
    <w:name w:val="柴_公司名"/>
    <w:basedOn w:val="a8"/>
    <w:qFormat/>
    <w:pPr>
      <w:spacing w:afterLines="600" w:after="600"/>
    </w:pPr>
    <w:rPr>
      <w:rFonts w:ascii="宋体" w:hAnsi="宋体" w:cs="宋体" w:hint="eastAsia"/>
      <w:bCs/>
      <w:spacing w:val="-6"/>
      <w:sz w:val="52"/>
      <w:szCs w:val="52"/>
    </w:rPr>
  </w:style>
  <w:style w:type="paragraph" w:customStyle="1" w:styleId="ac">
    <w:name w:val="柴_文档名"/>
    <w:basedOn w:val="a8"/>
    <w:qFormat/>
    <w:pPr>
      <w:spacing w:afterLines="900" w:after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宋体" w:hAnsi="宋体" w:cs="宋体"/>
    </w:rPr>
  </w:style>
  <w:style w:type="paragraph" w:customStyle="1" w:styleId="10">
    <w:name w:val="柴_标题1"/>
    <w:basedOn w:val="1"/>
    <w:next w:val="ad"/>
    <w:link w:val="1Char"/>
    <w:qFormat/>
    <w:pPr>
      <w:spacing w:before="100" w:after="90" w:line="360" w:lineRule="auto"/>
    </w:pPr>
    <w:rPr>
      <w:sz w:val="32"/>
    </w:rPr>
  </w:style>
  <w:style w:type="paragraph" w:customStyle="1" w:styleId="ad">
    <w:name w:val="柴_正文"/>
    <w:basedOn w:val="a4"/>
    <w:link w:val="Char"/>
    <w:qFormat/>
    <w:pPr>
      <w:ind w:firstLineChars="200" w:firstLine="470"/>
    </w:pPr>
    <w:rPr>
      <w:rFonts w:eastAsia="宋体"/>
      <w:sz w:val="24"/>
      <w:lang w:eastAsia="zh-CN"/>
    </w:rPr>
  </w:style>
  <w:style w:type="paragraph" w:customStyle="1" w:styleId="20">
    <w:name w:val="柴_标题2"/>
    <w:basedOn w:val="2"/>
    <w:next w:val="ad"/>
    <w:qFormat/>
    <w:pPr>
      <w:spacing w:line="360" w:lineRule="auto"/>
    </w:pPr>
    <w:rPr>
      <w:rFonts w:eastAsia="宋体"/>
      <w:sz w:val="28"/>
    </w:rPr>
  </w:style>
  <w:style w:type="paragraph" w:customStyle="1" w:styleId="30">
    <w:name w:val="柴_标题3"/>
    <w:basedOn w:val="3"/>
    <w:next w:val="ad"/>
    <w:qFormat/>
    <w:pPr>
      <w:spacing w:line="360" w:lineRule="auto"/>
      <w:ind w:left="0" w:firstLineChars="200" w:firstLine="472"/>
    </w:pPr>
    <w:rPr>
      <w:rFonts w:ascii="宋体" w:hAnsi="宋体" w:cs="宋体"/>
      <w:spacing w:val="-2"/>
      <w:sz w:val="24"/>
      <w:szCs w:val="24"/>
    </w:rPr>
  </w:style>
  <w:style w:type="paragraph" w:customStyle="1" w:styleId="ae">
    <w:name w:val="柴_目录"/>
    <w:basedOn w:val="a"/>
    <w:next w:val="a4"/>
    <w:qFormat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paragraph" w:customStyle="1" w:styleId="WPSOffice3">
    <w:name w:val="WPSOffice手动目录 3"/>
    <w:qFormat/>
    <w:pPr>
      <w:ind w:leftChars="400" w:left="400"/>
    </w:pPr>
  </w:style>
  <w:style w:type="paragraph" w:customStyle="1" w:styleId="Compact">
    <w:name w:val="Compact"/>
    <w:basedOn w:val="a4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0"/>
    <w:qFormat/>
    <w:rPr>
      <w:rFonts w:ascii="Arial" w:eastAsia="宋体" w:hAnsi="Arial"/>
      <w:sz w:val="32"/>
    </w:rPr>
  </w:style>
  <w:style w:type="paragraph" w:customStyle="1" w:styleId="af">
    <w:name w:val="柴_正文_无缩进"/>
    <w:basedOn w:val="a"/>
    <w:qFormat/>
    <w:rPr>
      <w:sz w:val="24"/>
      <w:lang w:eastAsia="zh-CN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标题4"/>
    <w:basedOn w:val="4"/>
    <w:next w:val="a"/>
    <w:qFormat/>
    <w:pPr>
      <w:widowControl w:val="0"/>
      <w:spacing w:before="160" w:line="360" w:lineRule="auto"/>
      <w:ind w:leftChars="300" w:left="981" w:hanging="862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d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1344</Words>
  <Characters>1412</Characters>
  <Application>Microsoft Office Word</Application>
  <DocSecurity>0</DocSecurity>
  <Lines>156</Lines>
  <Paragraphs>137</Paragraphs>
  <ScaleCrop>false</ScaleCrop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sa sa</cp:lastModifiedBy>
  <cp:revision>2</cp:revision>
  <dcterms:created xsi:type="dcterms:W3CDTF">2025-09-03T14:43:00Z</dcterms:created>
  <dcterms:modified xsi:type="dcterms:W3CDTF">2026-02-25T12:21:00Z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