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2619" w14:textId="77777777" w:rsidR="00FD1F0A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2-07</w:t>
      </w:r>
    </w:p>
    <w:p w14:paraId="79BD6066" w14:textId="77777777" w:rsidR="00FD1F0A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12828A8" w14:textId="77777777" w:rsidR="00FD1F0A" w:rsidRDefault="00000000">
      <w:pPr>
        <w:pStyle w:val="ab"/>
        <w:widowControl w:val="0"/>
        <w:spacing w:after="1872"/>
        <w:rPr>
          <w:lang w:eastAsia="zh-CN"/>
        </w:rPr>
      </w:pPr>
      <w:bookmarkStart w:id="0" w:name="_Toc20834"/>
      <w:bookmarkStart w:id="1" w:name="_Toc30823"/>
      <w:r>
        <w:rPr>
          <w:lang w:eastAsia="zh-CN"/>
        </w:rPr>
        <w:t>陕西益利德软件科技有限公司</w:t>
      </w:r>
      <w:bookmarkEnd w:id="0"/>
      <w:bookmarkEnd w:id="1"/>
    </w:p>
    <w:p w14:paraId="2CAC9BC2" w14:textId="77777777" w:rsidR="00FD1F0A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30782"/>
      <w:r>
        <w:rPr>
          <w:rFonts w:hint="eastAsia"/>
          <w:lang w:eastAsia="zh-CN"/>
        </w:rPr>
        <w:t>烟台林海嵎峡田综合体智慧农业大数据平台建设项目-</w:t>
      </w:r>
      <w:bookmarkEnd w:id="2"/>
      <w:r>
        <w:rPr>
          <w:rFonts w:hint="eastAsia"/>
          <w:lang w:eastAsia="zh-CN"/>
        </w:rPr>
        <w:t>应急演练</w:t>
      </w:r>
      <w:bookmarkEnd w:id="3"/>
      <w:r>
        <w:rPr>
          <w:rFonts w:hint="eastAsia"/>
          <w:lang w:eastAsia="zh-CN"/>
        </w:rPr>
        <w:t>改进跟踪</w:t>
      </w:r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47"/>
        <w:gridCol w:w="4116"/>
      </w:tblGrid>
      <w:tr w:rsidR="00FD1F0A" w14:paraId="60838ADF" w14:textId="77777777">
        <w:trPr>
          <w:trHeight w:val="810"/>
        </w:trPr>
        <w:tc>
          <w:tcPr>
            <w:tcW w:w="1818" w:type="dxa"/>
          </w:tcPr>
          <w:p w14:paraId="74E03C83" w14:textId="77777777" w:rsidR="00FD1F0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597E6207" w14:textId="4D6F3FA7" w:rsidR="00FD1F0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 w:rsidR="00F549AB">
              <w:rPr>
                <w:rFonts w:hint="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:rsidR="00FD1F0A" w14:paraId="2B8D29E7" w14:textId="77777777">
        <w:trPr>
          <w:trHeight w:val="810"/>
        </w:trPr>
        <w:tc>
          <w:tcPr>
            <w:tcW w:w="1818" w:type="dxa"/>
          </w:tcPr>
          <w:p w14:paraId="31736F2B" w14:textId="77777777" w:rsidR="00FD1F0A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347C9C83" w14:textId="05ADA786" w:rsidR="00FD1F0A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 w:rsidR="00F549AB">
              <w:rPr>
                <w:rFonts w:hint="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:rsidR="00FD1F0A" w14:paraId="0B3D4772" w14:textId="77777777">
        <w:trPr>
          <w:trHeight w:val="635"/>
        </w:trPr>
        <w:tc>
          <w:tcPr>
            <w:tcW w:w="1818" w:type="dxa"/>
          </w:tcPr>
          <w:p w14:paraId="618D545D" w14:textId="77777777" w:rsidR="00FD1F0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05EA5EA3" w14:textId="1648D777" w:rsidR="00FD1F0A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2025.1</w:t>
            </w:r>
            <w:r w:rsidR="00F549AB">
              <w:rPr>
                <w:rFonts w:hint="eastAsia"/>
                <w:u w:val="single"/>
                <w:lang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48EA84AE" w14:textId="77777777" w:rsidR="00FD1F0A" w:rsidRDefault="00000000">
      <w:pPr>
        <w:widowControl w:val="0"/>
      </w:pPr>
      <w:r>
        <w:lastRenderedPageBreak/>
        <w:br w:type="page"/>
      </w:r>
    </w:p>
    <w:p w14:paraId="67F0DDC0" w14:textId="77777777" w:rsidR="00FD1F0A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FD1F0A" w14:paraId="6AF3EDDA" w14:textId="77777777">
        <w:trPr>
          <w:trHeight w:val="593"/>
        </w:trPr>
        <w:tc>
          <w:tcPr>
            <w:tcW w:w="1555" w:type="dxa"/>
          </w:tcPr>
          <w:p w14:paraId="1E780716" w14:textId="77777777" w:rsidR="00FD1F0A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DB4A5E3" w14:textId="77777777" w:rsidR="00FD1F0A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64CFFEF" w14:textId="77777777" w:rsidR="00FD1F0A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3034114" w14:textId="77777777" w:rsidR="00FD1F0A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EE45A28" w14:textId="77777777" w:rsidR="00FD1F0A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29638BB8" w14:textId="77777777" w:rsidR="00FD1F0A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FD1F0A" w14:paraId="0D5A5D71" w14:textId="77777777">
        <w:trPr>
          <w:trHeight w:val="556"/>
        </w:trPr>
        <w:tc>
          <w:tcPr>
            <w:tcW w:w="1555" w:type="dxa"/>
          </w:tcPr>
          <w:p w14:paraId="2AF8C67F" w14:textId="2D861AFA" w:rsidR="00FD1F0A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</w:t>
            </w:r>
            <w:r w:rsidR="00F549AB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24E3CB2F" w14:textId="77777777" w:rsidR="00FD1F0A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1F683C5" w14:textId="77777777" w:rsidR="00FD1F0A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929F128" w14:textId="77777777" w:rsidR="00FD1F0A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59158E81" w14:textId="77777777" w:rsidR="00FD1F0A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2B08D82F" w14:textId="77777777" w:rsidR="00FD1F0A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FD1F0A" w14:paraId="54C00D44" w14:textId="77777777">
        <w:trPr>
          <w:trHeight w:val="556"/>
        </w:trPr>
        <w:tc>
          <w:tcPr>
            <w:tcW w:w="1555" w:type="dxa"/>
          </w:tcPr>
          <w:p w14:paraId="5EBF6DC6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0E327D5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57C0D97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3223366" w14:textId="77777777" w:rsidR="00FD1F0A" w:rsidRDefault="00FD1F0A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21A85DB" w14:textId="77777777" w:rsidR="00FD1F0A" w:rsidRDefault="00FD1F0A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E8DE611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FD1F0A" w14:paraId="7F9F10F7" w14:textId="77777777">
        <w:trPr>
          <w:trHeight w:val="556"/>
        </w:trPr>
        <w:tc>
          <w:tcPr>
            <w:tcW w:w="1555" w:type="dxa"/>
          </w:tcPr>
          <w:p w14:paraId="66C9C38A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55F7D2A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B51B403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873A551" w14:textId="77777777" w:rsidR="00FD1F0A" w:rsidRDefault="00FD1F0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799E02D" w14:textId="77777777" w:rsidR="00FD1F0A" w:rsidRDefault="00FD1F0A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53A10B0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FD1F0A" w14:paraId="65CC224E" w14:textId="77777777">
        <w:trPr>
          <w:trHeight w:val="557"/>
        </w:trPr>
        <w:tc>
          <w:tcPr>
            <w:tcW w:w="1555" w:type="dxa"/>
          </w:tcPr>
          <w:p w14:paraId="145ADC8D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CCBDAC5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394B7B2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B57F284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7FF9D67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4463E2E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FD1F0A" w14:paraId="195D9E1E" w14:textId="77777777">
        <w:trPr>
          <w:trHeight w:val="556"/>
        </w:trPr>
        <w:tc>
          <w:tcPr>
            <w:tcW w:w="1555" w:type="dxa"/>
          </w:tcPr>
          <w:p w14:paraId="634D01FF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C52708D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1B48DB1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6AC892F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417874C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5AE436D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FD1F0A" w14:paraId="1A72384C" w14:textId="77777777">
        <w:trPr>
          <w:trHeight w:val="561"/>
        </w:trPr>
        <w:tc>
          <w:tcPr>
            <w:tcW w:w="1555" w:type="dxa"/>
          </w:tcPr>
          <w:p w14:paraId="37879F7E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8FE8042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68B5BDE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B4FF8BD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6064121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8FD59FE" w14:textId="77777777" w:rsidR="00FD1F0A" w:rsidRDefault="00FD1F0A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2AE678FA" w14:textId="77777777" w:rsidR="00FD1F0A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66BBDF97" w14:textId="77777777" w:rsidR="00FD1F0A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507D9CB7" w14:textId="77777777" w:rsidR="00FD1F0A" w:rsidRDefault="00FD1F0A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</w:p>
        <w:p w14:paraId="7DF1F1CB" w14:textId="77777777" w:rsidR="00FD1F0A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30823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_Toc30823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5D5E65E" w14:textId="77777777" w:rsidR="00FD1F0A" w:rsidRDefault="00000000">
          <w:pPr>
            <w:pStyle w:val="TOC1"/>
            <w:tabs>
              <w:tab w:val="right" w:leader="dot" w:pos="8306"/>
            </w:tabs>
          </w:pPr>
          <w:hyperlink w:anchor="_Toc30782" w:history="1">
            <w:r>
              <w:rPr>
                <w:rFonts w:hint="eastAsia"/>
                <w:lang w:eastAsia="zh-CN"/>
              </w:rPr>
              <w:t>烟台林海嵎峡田综合体智慧农业大数据平台建设项目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应急演练报告</w:t>
            </w:r>
            <w:r>
              <w:tab/>
            </w:r>
            <w:r>
              <w:fldChar w:fldCharType="begin"/>
            </w:r>
            <w:r>
              <w:instrText xml:space="preserve"> PAGEREF _Toc30782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9F37419" w14:textId="77777777" w:rsidR="00FD1F0A" w:rsidRDefault="00000000">
          <w:pPr>
            <w:pStyle w:val="TOC1"/>
            <w:tabs>
              <w:tab w:val="right" w:leader="dot" w:pos="8306"/>
            </w:tabs>
          </w:pPr>
          <w:hyperlink w:anchor="_Toc12930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摘要</w:t>
            </w:r>
            <w:r>
              <w:tab/>
            </w:r>
            <w:r>
              <w:fldChar w:fldCharType="begin"/>
            </w:r>
            <w:r>
              <w:instrText xml:space="preserve"> PAGEREF _Toc12930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BB9B5A7" w14:textId="77777777" w:rsidR="00FD1F0A" w:rsidRDefault="00000000">
          <w:pPr>
            <w:pStyle w:val="TOC1"/>
            <w:tabs>
              <w:tab w:val="right" w:leader="dot" w:pos="8306"/>
            </w:tabs>
          </w:pPr>
          <w:hyperlink w:anchor="_Toc32330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演练概况</w:t>
            </w:r>
            <w:r>
              <w:tab/>
            </w:r>
            <w:r>
              <w:fldChar w:fldCharType="begin"/>
            </w:r>
            <w:r>
              <w:instrText xml:space="preserve"> PAGEREF _Toc32330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E7AA7F4" w14:textId="77777777" w:rsidR="00FD1F0A" w:rsidRDefault="00000000">
          <w:pPr>
            <w:pStyle w:val="TOC1"/>
            <w:tabs>
              <w:tab w:val="right" w:leader="dot" w:pos="8306"/>
            </w:tabs>
          </w:pPr>
          <w:hyperlink w:anchor="_Toc29542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编制依据</w:t>
            </w:r>
            <w:r>
              <w:tab/>
            </w:r>
            <w:r>
              <w:fldChar w:fldCharType="begin"/>
            </w:r>
            <w:r>
              <w:instrText xml:space="preserve"> PAGEREF _Toc29542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289FEC7" w14:textId="77777777" w:rsidR="00FD1F0A" w:rsidRDefault="00000000">
          <w:pPr>
            <w:pStyle w:val="TOC1"/>
            <w:tabs>
              <w:tab w:val="right" w:leader="dot" w:pos="8306"/>
            </w:tabs>
          </w:pPr>
          <w:hyperlink w:anchor="_Toc29226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演练实施情况回顾</w:t>
            </w:r>
            <w:r>
              <w:tab/>
            </w:r>
            <w:r>
              <w:fldChar w:fldCharType="begin"/>
            </w:r>
            <w:r>
              <w:instrText xml:space="preserve"> PAGEREF _Toc29226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2FFE88A" w14:textId="77777777" w:rsidR="00FD1F0A" w:rsidRDefault="00000000">
          <w:pPr>
            <w:pStyle w:val="TOC1"/>
            <w:tabs>
              <w:tab w:val="right" w:leader="dot" w:pos="8306"/>
            </w:tabs>
          </w:pPr>
          <w:hyperlink w:anchor="_Toc25928" w:history="1">
            <w:r>
              <w:rPr>
                <w:lang w:eastAsia="zh-CN"/>
              </w:rPr>
              <w:t xml:space="preserve">5. </w:t>
            </w:r>
            <w:r>
              <w:rPr>
                <w:rFonts w:hint="eastAsia"/>
                <w:lang w:eastAsia="zh-CN"/>
              </w:rPr>
              <w:t>演练评估与分析</w:t>
            </w:r>
            <w:r>
              <w:tab/>
            </w:r>
            <w:r>
              <w:fldChar w:fldCharType="begin"/>
            </w:r>
            <w:r>
              <w:instrText xml:space="preserve"> PAGEREF _Toc25928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E88E493" w14:textId="77777777" w:rsidR="00FD1F0A" w:rsidRDefault="00000000">
          <w:pPr>
            <w:pStyle w:val="TOC2"/>
            <w:tabs>
              <w:tab w:val="right" w:leader="dot" w:pos="8306"/>
            </w:tabs>
          </w:pPr>
          <w:hyperlink w:anchor="_Toc24730" w:history="1">
            <w:r>
              <w:rPr>
                <w:lang w:eastAsia="zh-CN"/>
              </w:rPr>
              <w:t xml:space="preserve">5.1. </w:t>
            </w:r>
            <w:r>
              <w:rPr>
                <w:rFonts w:hint="eastAsia"/>
                <w:lang w:eastAsia="zh-CN"/>
              </w:rPr>
              <w:t>目标达成情况评估</w:t>
            </w:r>
            <w:r>
              <w:tab/>
            </w:r>
            <w:r>
              <w:fldChar w:fldCharType="begin"/>
            </w:r>
            <w:r>
              <w:instrText xml:space="preserve"> PAGEREF _Toc24730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4B5D1B7" w14:textId="77777777" w:rsidR="00FD1F0A" w:rsidRDefault="00000000">
          <w:pPr>
            <w:pStyle w:val="TOC2"/>
            <w:tabs>
              <w:tab w:val="right" w:leader="dot" w:pos="8306"/>
            </w:tabs>
          </w:pPr>
          <w:hyperlink w:anchor="_Toc18386" w:history="1">
            <w:r>
              <w:rPr>
                <w:lang w:eastAsia="zh-CN"/>
              </w:rPr>
              <w:t xml:space="preserve">5.2. </w:t>
            </w:r>
            <w:r>
              <w:rPr>
                <w:rFonts w:hint="eastAsia"/>
                <w:lang w:eastAsia="zh-CN"/>
              </w:rPr>
              <w:t>关键环节能力评估</w:t>
            </w:r>
            <w:r>
              <w:tab/>
            </w:r>
            <w:r>
              <w:fldChar w:fldCharType="begin"/>
            </w:r>
            <w:r>
              <w:instrText xml:space="preserve"> PAGEREF _Toc18386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E3B2C0E" w14:textId="77777777" w:rsidR="00FD1F0A" w:rsidRDefault="00000000">
          <w:pPr>
            <w:pStyle w:val="TOC1"/>
            <w:tabs>
              <w:tab w:val="right" w:leader="dot" w:pos="8306"/>
            </w:tabs>
          </w:pPr>
          <w:hyperlink w:anchor="_Toc16662" w:history="1">
            <w:r>
              <w:rPr>
                <w:lang w:eastAsia="zh-CN"/>
              </w:rPr>
              <w:t xml:space="preserve">6. </w:t>
            </w:r>
            <w:r>
              <w:rPr>
                <w:rFonts w:hint="eastAsia"/>
                <w:lang w:eastAsia="zh-CN"/>
              </w:rPr>
              <w:t>问题与改进</w:t>
            </w:r>
            <w:r>
              <w:tab/>
            </w:r>
            <w:r>
              <w:fldChar w:fldCharType="begin"/>
            </w:r>
            <w:r>
              <w:instrText xml:space="preserve"> PAGEREF _Toc16662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F15CF02" w14:textId="77777777" w:rsidR="00FD1F0A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52B342DD" w14:textId="77777777" w:rsidR="00FD1F0A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4218E889" w14:textId="77777777" w:rsidR="00FD1F0A" w:rsidRDefault="00FD1F0A">
      <w:pPr>
        <w:pStyle w:val="ad"/>
        <w:ind w:firstLine="480"/>
      </w:pPr>
    </w:p>
    <w:p w14:paraId="509D97DA" w14:textId="77777777" w:rsidR="00FD1F0A" w:rsidRDefault="00000000">
      <w:pPr>
        <w:pStyle w:val="10"/>
        <w:rPr>
          <w:lang w:eastAsia="zh-CN"/>
        </w:rPr>
      </w:pPr>
      <w:bookmarkStart w:id="4" w:name="_Toc16662"/>
      <w:r>
        <w:rPr>
          <w:rFonts w:hint="eastAsia"/>
          <w:lang w:eastAsia="zh-CN"/>
        </w:rPr>
        <w:t>问题与改进</w:t>
      </w:r>
      <w:bookmarkEnd w:id="4"/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644"/>
        <w:gridCol w:w="1585"/>
        <w:gridCol w:w="1572"/>
        <w:gridCol w:w="1248"/>
        <w:gridCol w:w="911"/>
        <w:gridCol w:w="1176"/>
      </w:tblGrid>
      <w:tr w:rsidR="00FD1F0A" w14:paraId="75895172" w14:textId="77777777">
        <w:trPr>
          <w:tblHeader/>
        </w:trPr>
        <w:tc>
          <w:tcPr>
            <w:tcW w:w="58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D755FE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序号</w:t>
            </w:r>
          </w:p>
        </w:tc>
        <w:tc>
          <w:tcPr>
            <w:tcW w:w="16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0ADC46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问题描述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12B98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根源分析</w:t>
            </w:r>
          </w:p>
        </w:tc>
        <w:tc>
          <w:tcPr>
            <w:tcW w:w="157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2289B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改进建议</w:t>
            </w:r>
          </w:p>
        </w:tc>
        <w:tc>
          <w:tcPr>
            <w:tcW w:w="12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C999A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责任部门</w:t>
            </w:r>
          </w:p>
        </w:tc>
        <w:tc>
          <w:tcPr>
            <w:tcW w:w="911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D73E0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建议完成时限</w:t>
            </w:r>
          </w:p>
        </w:tc>
        <w:tc>
          <w:tcPr>
            <w:tcW w:w="1176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3246D" w14:textId="77777777" w:rsidR="00FD1F0A" w:rsidRDefault="00000000">
            <w:pPr>
              <w:spacing w:line="300" w:lineRule="atLeast"/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</w:pPr>
            <w:r>
              <w:rPr>
                <w:rStyle w:val="aa"/>
                <w:rFonts w:ascii="Segoe UI" w:eastAsia="Segoe UI" w:hAnsi="Segoe UI" w:cs="Segoe UI" w:hint="eastAsia"/>
                <w:bCs/>
                <w:sz w:val="18"/>
                <w:szCs w:val="18"/>
                <w:lang w:eastAsia="zh-CN"/>
              </w:rPr>
              <w:t>完成情况</w:t>
            </w:r>
          </w:p>
        </w:tc>
      </w:tr>
      <w:tr w:rsidR="00FD1F0A" w14:paraId="73254A35" w14:textId="77777777">
        <w:tc>
          <w:tcPr>
            <w:tcW w:w="58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06792D" w14:textId="77777777" w:rsidR="00FD1F0A" w:rsidRDefault="00000000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6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38972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光缆熔接机预热时间较长（约8分钟），可能影响极端条件下的抢修效率。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C8294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现有设备技术规格限制，未针对应急场景进行设备选型优化。</w:t>
            </w:r>
          </w:p>
        </w:tc>
        <w:tc>
          <w:tcPr>
            <w:tcW w:w="157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A2907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调研并评估快速启动型或冷接技术的可行性。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在应急预案中增加“应急设备提前预热”的检查项。</w:t>
            </w:r>
          </w:p>
        </w:tc>
        <w:tc>
          <w:tcPr>
            <w:tcW w:w="12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4D367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交付部、应急管理办公室</w:t>
            </w:r>
          </w:p>
        </w:tc>
        <w:tc>
          <w:tcPr>
            <w:tcW w:w="91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FED26F" w14:textId="3D639DD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202</w:t>
            </w:r>
            <w:r w:rsidR="00F549AB"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6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年</w:t>
            </w:r>
            <w:r w:rsidR="00F549AB"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月31日</w:t>
            </w:r>
          </w:p>
        </w:tc>
        <w:tc>
          <w:tcPr>
            <w:tcW w:w="117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DBD91F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已完成</w:t>
            </w:r>
          </w:p>
        </w:tc>
      </w:tr>
      <w:tr w:rsidR="00FD1F0A" w14:paraId="692DDEAD" w14:textId="77777777">
        <w:tc>
          <w:tcPr>
            <w:tcW w:w="58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9CCC2F" w14:textId="77777777" w:rsidR="00FD1F0A" w:rsidRDefault="00000000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6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522DDF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模拟拨打外部救援电话时，对现场其他非参演人员的告知不够充分。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69529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演练方案中对现场环境管理的细节考虑不足。</w:t>
            </w:r>
          </w:p>
        </w:tc>
        <w:tc>
          <w:tcPr>
            <w:tcW w:w="157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514DF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未来演练时，在安全交底中明确要求，并使用便携式扬声器或明确标识，向现场所有人员宣告演练状态。</w:t>
            </w:r>
          </w:p>
        </w:tc>
        <w:tc>
          <w:tcPr>
            <w:tcW w:w="12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7E73B9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应急管理办公室</w:t>
            </w:r>
          </w:p>
        </w:tc>
        <w:tc>
          <w:tcPr>
            <w:tcW w:w="91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2A4956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下次演练前</w:t>
            </w:r>
          </w:p>
        </w:tc>
        <w:tc>
          <w:tcPr>
            <w:tcW w:w="117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4C4CDE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已完成</w:t>
            </w:r>
          </w:p>
        </w:tc>
      </w:tr>
      <w:tr w:rsidR="00FD1F0A" w14:paraId="2F062EFA" w14:textId="77777777">
        <w:tc>
          <w:tcPr>
            <w:tcW w:w="589" w:type="dx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C480C5" w14:textId="77777777" w:rsidR="00FD1F0A" w:rsidRDefault="00000000">
            <w:pPr>
              <w:spacing w:line="300" w:lineRule="atLeast"/>
              <w:jc w:val="center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644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CCAF3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技术组接管现场时，与先期处置组的交接流程略显随意，未形成书面记录。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2ADC2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预案中对于现场指挥权移交和情况交接的标准化流程规定不够细致。</w:t>
            </w:r>
          </w:p>
        </w:tc>
        <w:tc>
          <w:tcPr>
            <w:tcW w:w="1572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0D161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在应急预案的“现场处置”章节，补充制定简明的《现场情况交接单》，并设立固定交接点。</w:t>
            </w:r>
          </w:p>
        </w:tc>
        <w:tc>
          <w:tcPr>
            <w:tcW w:w="1248" w:type="dx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D5146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应急管理办公室</w:t>
            </w:r>
          </w:p>
        </w:tc>
        <w:tc>
          <w:tcPr>
            <w:tcW w:w="911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B3DEDE" w14:textId="42F9CD7F" w:rsidR="00FD1F0A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202</w:t>
            </w:r>
            <w:r w:rsidR="00F549AB"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6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年</w:t>
            </w:r>
            <w:r w:rsidR="00F549AB"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月15日</w:t>
            </w:r>
          </w:p>
        </w:tc>
        <w:tc>
          <w:tcPr>
            <w:tcW w:w="1176" w:type="dxa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79CEFA" w14:textId="77777777" w:rsidR="00FD1F0A" w:rsidRDefault="00000000">
            <w:pPr>
              <w:spacing w:line="300" w:lineRule="atLeast"/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已完成</w:t>
            </w:r>
          </w:p>
        </w:tc>
      </w:tr>
    </w:tbl>
    <w:p w14:paraId="1B4504DD" w14:textId="77777777" w:rsidR="00FD1F0A" w:rsidRDefault="00FD1F0A">
      <w:pPr>
        <w:pStyle w:val="ad"/>
        <w:ind w:firstLine="480"/>
      </w:pPr>
    </w:p>
    <w:sectPr w:rsidR="00FD1F0A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F498" w14:textId="77777777" w:rsidR="000D541B" w:rsidRDefault="000D541B">
      <w:pPr>
        <w:spacing w:line="240" w:lineRule="auto"/>
      </w:pPr>
      <w:r>
        <w:separator/>
      </w:r>
    </w:p>
  </w:endnote>
  <w:endnote w:type="continuationSeparator" w:id="0">
    <w:p w14:paraId="51C952CE" w14:textId="77777777" w:rsidR="000D541B" w:rsidRDefault="000D54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4E45D" w14:textId="77777777" w:rsidR="000D541B" w:rsidRDefault="000D541B">
      <w:pPr>
        <w:spacing w:line="240" w:lineRule="auto"/>
      </w:pPr>
      <w:r>
        <w:separator/>
      </w:r>
    </w:p>
  </w:footnote>
  <w:footnote w:type="continuationSeparator" w:id="0">
    <w:p w14:paraId="6F0F130A" w14:textId="77777777" w:rsidR="000D541B" w:rsidRDefault="000D54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F90A" w14:textId="77777777" w:rsidR="00FD1F0A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142568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F0A"/>
    <w:rsid w:val="000D541B"/>
    <w:rsid w:val="009276F1"/>
    <w:rsid w:val="00F549AB"/>
    <w:rsid w:val="00FD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03885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687</Words>
  <Characters>722</Characters>
  <Application>Microsoft Office Word</Application>
  <DocSecurity>0</DocSecurity>
  <Lines>80</Lines>
  <Paragraphs>70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