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3241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5330"/>
      <w:r>
        <w:rPr>
          <w:rFonts w:hint="eastAsia"/>
          <w:lang w:val="en-US" w:eastAsia="zh-CN"/>
        </w:rPr>
        <w:t>人员岗位说明书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_Toc5330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_Toc19085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_Toc30226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_Toc13310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_Toc14752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_Toc16116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_Toc8191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人工智能部经理</w:t>
          </w:r>
          <w:r>
            <w:tab/>
          </w:r>
          <w:r>
            <w:fldChar w:fldCharType="begin"/>
          </w:r>
          <w:r>
            <w:instrText xml:space="preserve"> PAGEREF _Toc7685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交付部经理</w:t>
          </w:r>
          <w:r>
            <w:tab/>
          </w:r>
          <w:r>
            <w:fldChar w:fldCharType="begin"/>
          </w:r>
          <w:r>
            <w:instrText xml:space="preserve"> PAGEREF _Toc27149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_Toc13087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研发部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_Toc20370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_Toc27811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4.9.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_Toc9950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4.10. </w:t>
          </w:r>
          <w:r>
            <w:rPr>
              <w:rFonts w:hint="eastAsia"/>
              <w:lang w:val="en-US" w:eastAsia="zh-CN"/>
            </w:rPr>
            <w:t>质量部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_Toc28373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4.11.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_Toc29231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4.12. </w:t>
          </w:r>
          <w:r>
            <w:rPr>
              <w:rFonts w:hint="eastAsia"/>
              <w:lang w:val="en-US" w:eastAsia="zh-CN"/>
            </w:rPr>
            <w:t>综合部经理</w:t>
          </w:r>
          <w:r>
            <w:tab/>
          </w:r>
          <w:r>
            <w:fldChar w:fldCharType="begin"/>
          </w:r>
          <w:r>
            <w:instrText xml:space="preserve"> PAGEREF _Toc22743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4.13.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_Toc2923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_Toc22010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_Toc19871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_Toc9767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_Toc19926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_Toc13284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_Toc22429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_Toc25399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_Toc12999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_Toc10477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_Toc9259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_Toc13521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_Toc26992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7.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_Toc3793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25174"/>
      <w:r>
        <w:t>目的</w:t>
      </w:r>
      <w:bookmarkEnd w:id="2"/>
    </w:p>
    <w:p>
      <w:pPr>
        <w:pStyle w:val="a1"/>
        <w:bidi w:val="0"/>
      </w:pPr>
      <w:r>
        <w:t>为对公司运行维护的人员素质、技能、经验的提出具体要求，并对涉及运行维护各岗位职责做了明确的规定，在运行维护过程中做到职责分明，更好地为客户服务，特制订</w:t>
      </w:r>
      <w:r>
        <w:rPr>
          <w:rFonts w:hint="eastAsia"/>
          <w:lang w:val="en-US" w:eastAsia="zh-CN"/>
        </w:rPr>
        <w:t>此</w:t>
      </w:r>
      <w:r>
        <w:t>说明书。</w:t>
      </w:r>
    </w:p>
    <w:p>
      <w:pPr>
        <w:pStyle w:val="1"/>
        <w:bidi w:val="0"/>
      </w:pPr>
      <w:bookmarkStart w:id="3" w:name="_Toc19085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>
      <w:pPr>
        <w:pStyle w:val="a1"/>
        <w:bidi w:val="0"/>
        <w:rPr>
          <w:rFonts w:ascii="宋体" w:eastAsia="宋体" w:hAnsi="宋体" w:cs="宋体"/>
          <w:szCs w:val="23"/>
        </w:rPr>
      </w:pPr>
      <w:r>
        <w:t>本说明书适用于公司运维服务相关人员。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30226"/>
      <w:r>
        <w:rPr>
          <w:rFonts w:hint="eastAsia"/>
          <w:lang w:val="en-US" w:eastAsia="zh-CN"/>
        </w:rPr>
        <w:t>岗位说明</w:t>
      </w:r>
      <w:bookmarkEnd w:id="4"/>
    </w:p>
    <w:p>
      <w:pPr>
        <w:pStyle w:val="2"/>
        <w:bidi w:val="0"/>
      </w:pPr>
      <w:bookmarkStart w:id="5" w:name="_Toc957"/>
      <w:r>
        <w:t>管理岗</w:t>
      </w:r>
      <w:bookmarkEnd w:id="5"/>
    </w:p>
    <w:p>
      <w:pPr>
        <w:pStyle w:val="a1"/>
        <w:bidi w:val="0"/>
      </w:pPr>
      <w: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t>运维服务管理岗包括以下具体岗位：</w:t>
      </w:r>
      <w:r>
        <w:rPr>
          <w:rFonts w:hint="eastAsia"/>
          <w:lang w:val="en-US" w:eastAsia="zh-CN"/>
        </w:rPr>
        <w:t>总经理、副总经理、人工智能部经理、</w:t>
      </w:r>
      <w:r>
        <w:t>交付部经理、运维项目经理、</w:t>
      </w:r>
      <w:r>
        <w:rPr>
          <w:rFonts w:hint="eastAsia"/>
          <w:lang w:val="en-US" w:eastAsia="zh-CN"/>
        </w:rPr>
        <w:t>研发部</w:t>
      </w:r>
      <w:r>
        <w:t>经理、研发项目经理、</w:t>
      </w:r>
      <w:r>
        <w:rPr>
          <w:rFonts w:hint="eastAsia"/>
          <w:lang w:val="en-US" w:eastAsia="zh-CN"/>
        </w:rPr>
        <w:t>备件库经理、服务知识经理、质量部</w:t>
      </w:r>
      <w:r>
        <w:t>经理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采购部经理、综合部经理和服务台经理</w:t>
      </w:r>
    </w:p>
    <w:p>
      <w:pPr>
        <w:pStyle w:val="2"/>
        <w:bidi w:val="0"/>
      </w:pPr>
      <w:bookmarkStart w:id="6" w:name="bookmark5"/>
      <w:bookmarkEnd w:id="6"/>
      <w:bookmarkStart w:id="7" w:name="_Toc13310"/>
      <w:r>
        <w:t>技术岗</w:t>
      </w:r>
      <w:bookmarkEnd w:id="7"/>
    </w:p>
    <w:p>
      <w:pPr>
        <w:pStyle w:val="a1"/>
        <w:bidi w:val="0"/>
      </w:pPr>
      <w: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>
      <w:pPr>
        <w:pStyle w:val="a1"/>
        <w:bidi w:val="0"/>
      </w:pPr>
      <w:r>
        <w:t>技术岗包括以下具体岗位：软件运维工程师、研发工程师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运维实施工程师、测试工程师、网络工程师和需求工程师</w:t>
      </w:r>
      <w:r>
        <w:t>。</w:t>
      </w:r>
    </w:p>
    <w:p>
      <w:pPr>
        <w:pStyle w:val="2"/>
        <w:bidi w:val="0"/>
      </w:pPr>
      <w:bookmarkStart w:id="8" w:name="bookmark6"/>
      <w:bookmarkEnd w:id="8"/>
      <w:bookmarkStart w:id="9" w:name="_Toc14752"/>
      <w:r>
        <w:t>操作岗</w:t>
      </w:r>
      <w:bookmarkEnd w:id="9"/>
    </w:p>
    <w:p>
      <w:pPr>
        <w:pStyle w:val="a1"/>
        <w:bidi w:val="0"/>
      </w:pPr>
      <w:r>
        <w:t>操作岗的职责为：在运行维护服务中负责日常操作的实施；根据规范和手册，执行运行维护服务各过程，并对其执行结果负责。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t>操作岗包括以下具体岗位：服务台专员、质量管理员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备件库管理专员和服务知识管理员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6116"/>
      <w:r>
        <w:rPr>
          <w:rFonts w:hint="eastAsia"/>
          <w:lang w:val="en-US" w:eastAsia="zh-CN"/>
        </w:rPr>
        <w:t>管理岗岗位说明</w:t>
      </w:r>
      <w:bookmarkEnd w:id="10"/>
    </w:p>
    <w:p>
      <w:pPr>
        <w:pStyle w:val="2"/>
        <w:bidi w:val="0"/>
      </w:pPr>
      <w:bookmarkStart w:id="11" w:name="_Toc8191"/>
      <w:bookmarkStart w:id="12" w:name="_Toc19408"/>
      <w:r>
        <w:rPr>
          <w:rFonts w:hint="eastAsia"/>
          <w:lang w:val="en-US" w:eastAsia="zh-CN"/>
        </w:rPr>
        <w:t>总经理</w:t>
      </w:r>
      <w:bookmarkEnd w:id="1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无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GL001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公全面负责公司战略规划、经营管理和团队建设工作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公司所有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执行董事会决议，主持全面的经营及管理工作；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制定年度经营管理计划，保证经营管理目标的实现，保障经营体系的安全高效；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负责运维服务方针、目标、质量指标的审批；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对建立、实施和保持符合标准的体系负最高责任，负责所有体系正式版本文件的发布批准；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组织实施经批准的公司工作计划和财务预算及利润分配、使用方案；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组织领导公司日常经营管理工作，代表法人代表签署有关协议、合同和处理相关事宜；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负责召集和主持总经理办公会议，检查、协调、监督各项业务工作进展，重要会议纪要以书面形式上报集团董事会；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保障各项规章制度的严格实施，决定公司人事编制、人事任免、薪酬、奖罚；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签署日常行政、业务文件，对单据进行审批；</w:t>
            </w:r>
          </w:p>
          <w:p>
            <w:pPr>
              <w:numPr>
                <w:ilvl w:val="0"/>
                <w:numId w:val="2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加强公司团队建设和企业文化建设，树立公司良好的社会形象。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硕士及以上学历，10年以上企业管理工作经验；或博士学历，8年以上相关领域经验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经济管理、工商管理、企业管理等相关专业优先；或具备跨领域复合背景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政治坚定、大局意识强；具备卓越的领导魅力、战略视野、诚信担当、开拓精神和人文关怀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具有8年以上中高层管理经验，其中至少5年以上担任副总经理或同等高级管理职务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持有高级经济师、高级工商管理职称或同类高级资格；具备上市公司、集团化企业管理经验者优先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精通企业战略规划、运营管理、资本运作及风险控制；熟悉行业政策、市场趋势与现代化治理体系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具备卓越的战略决策、资源整合、创新变革和危机处理能力；能够高效推动组织发展、塑造企业文化并实现持续增长</w:t>
            </w:r>
          </w:p>
        </w:tc>
      </w:tr>
    </w:tbl>
    <w:p>
      <w:pPr>
        <w:pStyle w:val="a1"/>
      </w:pPr>
    </w:p>
    <w:p>
      <w:pPr>
        <w:pStyle w:val="2"/>
        <w:bidi w:val="0"/>
      </w:pPr>
      <w:bookmarkStart w:id="13" w:name="_Toc20160"/>
      <w:r>
        <w:rPr>
          <w:rFonts w:hint="eastAsia"/>
          <w:lang w:val="en-US" w:eastAsia="zh-CN"/>
        </w:rPr>
        <w:t>副总经理</w:t>
      </w:r>
      <w:bookmarkEnd w:id="1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副总经理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GL002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全面主持交付部工作。负责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3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pPr>
        <w:pStyle w:val="a1"/>
      </w:pPr>
    </w:p>
    <w:p>
      <w:pPr>
        <w:pStyle w:val="2"/>
        <w:bidi w:val="0"/>
      </w:pPr>
      <w:bookmarkStart w:id="14" w:name="_Toc7685"/>
      <w:r>
        <w:rPr>
          <w:rFonts w:hint="eastAsia"/>
          <w:lang w:val="en-US" w:eastAsia="zh-CN"/>
        </w:rPr>
        <w:t>人工智能部经理</w:t>
      </w:r>
      <w:bookmarkEnd w:id="1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人工智能部经理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val="en-US" w:eastAsia="zh-CN"/>
              </w:rPr>
              <w:t>勘探测绘院</w:t>
            </w:r>
            <w:bookmarkStart w:id="15" w:name="_GoBack"/>
            <w:bookmarkEnd w:id="15"/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YW000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全面主持交付部工作。负责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</w:t>
            </w: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pPr>
        <w:pStyle w:val="a1"/>
      </w:pPr>
    </w:p>
    <w:p>
      <w:pPr>
        <w:pStyle w:val="2"/>
        <w:bidi w:val="0"/>
      </w:pPr>
      <w:bookmarkStart w:id="16" w:name="_Toc27149"/>
      <w:r>
        <w:t>交付部经理</w:t>
      </w:r>
      <w:bookmarkEnd w:id="12"/>
      <w:bookmarkEnd w:id="1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35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36" w:line="227" w:lineRule="auto"/>
              <w:ind w:left="8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交付部经理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35" w:line="229" w:lineRule="auto"/>
              <w:ind w:left="3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36" w:line="227" w:lineRule="auto"/>
              <w:ind w:left="1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副总经理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16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216" w:line="268" w:lineRule="exact"/>
              <w:ind w:left="10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>
            <w:pPr>
              <w:spacing w:before="216" w:line="227" w:lineRule="auto"/>
              <w:ind w:left="3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216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28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26" w:line="287" w:lineRule="auto"/>
              <w:ind w:left="112" w:right="119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全面主持交付部工作。负责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/>
        </w:trPr>
        <w:tc>
          <w:tcPr>
            <w:tcW w:w="1725" w:type="dxa"/>
            <w:gridSpan w:val="2"/>
            <w:tcBorders>
              <w:left w:val="single" w:sz="2" w:space="0" w:color="000000"/>
            </w:tcBorders>
          </w:tcPr>
          <w:p>
            <w:pPr>
              <w:spacing w:before="150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50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对交付部的工作全面负责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/>
        </w:trPr>
        <w:tc>
          <w:tcPr>
            <w:tcW w:w="539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5" w:line="291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运维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支持业务招投标：协助其他业务部门进行招投标文件的研发部分编制与答疑。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负责综合行政与报表：负责部门各类项目报表的填报与提交工作。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>
            <w:pPr>
              <w:numPr>
                <w:ilvl w:val="0"/>
                <w:numId w:val="4"/>
              </w:numPr>
              <w:spacing w:before="4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539" w:type="dxa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65" w:line="287" w:lineRule="auto"/>
              <w:ind w:left="133" w:right="112" w:hanging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>
            <w:pPr>
              <w:spacing w:before="112" w:line="229" w:lineRule="auto"/>
              <w:ind w:left="2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2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eastAsia="宋体" w:hAnsi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9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9" w:line="227" w:lineRule="auto"/>
              <w:ind w:left="10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08" w:line="227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08" w:line="227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110" w:line="228" w:lineRule="auto"/>
              <w:ind w:left="2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110" w:line="227" w:lineRule="auto"/>
              <w:ind w:left="1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eastAsia="宋体" w:hAnsi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6" w:right="114" w:firstLine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eastAsia="宋体" w:hAnsi="宋体" w:cs="宋体"/>
                <w:sz w:val="20"/>
                <w:szCs w:val="20"/>
              </w:rPr>
              <w:t>证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539" w:type="dxa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62" w:line="228" w:lineRule="auto"/>
              <w:ind w:left="2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eastAsia="宋体" w:hAnsi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认证体系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/>
        </w:trPr>
        <w:tc>
          <w:tcPr>
            <w:tcW w:w="539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</w:pPr>
          </w:p>
        </w:tc>
        <w:tc>
          <w:tcPr>
            <w:tcW w:w="1366" w:type="dxa"/>
            <w:gridSpan w:val="2"/>
          </w:tcPr>
          <w:p>
            <w:pPr>
              <w:spacing w:before="223" w:line="227" w:lineRule="auto"/>
              <w:ind w:left="2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sz="2" w:space="0" w:color="000000"/>
            </w:tcBorders>
          </w:tcPr>
          <w:p>
            <w:pPr>
              <w:spacing w:before="67" w:line="270" w:lineRule="auto"/>
              <w:ind w:left="109" w:right="105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>
      <w:pPr>
        <w:pStyle w:val="2"/>
        <w:bidi w:val="0"/>
      </w:pPr>
      <w:bookmarkStart w:id="17" w:name="_Toc13087"/>
      <w:r>
        <w:t>运维项目经理</w:t>
      </w:r>
      <w:bookmarkEnd w:id="17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交付部经理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1" w:line="227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技术方案的编写制作工作；</w:t>
            </w:r>
          </w:p>
          <w:p>
            <w:pPr>
              <w:spacing w:before="92" w:line="227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计划，并能够有效控制风险点；</w:t>
            </w:r>
          </w:p>
          <w:p>
            <w:pPr>
              <w:spacing w:before="90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>
            <w:pPr>
              <w:spacing w:before="92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ascii="宋体" w:eastAsia="宋体" w:hAnsi="宋体" w:cs="宋体" w:hint="eastAsia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并做好管理工作；</w:t>
            </w:r>
          </w:p>
          <w:p>
            <w:pPr>
              <w:spacing w:before="92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>
            <w:pPr>
              <w:spacing w:before="92" w:line="224" w:lineRule="auto"/>
              <w:ind w:left="1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>
            <w:pPr>
              <w:spacing w:before="92" w:line="227" w:lineRule="auto"/>
              <w:ind w:left="1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>
            <w:pPr>
              <w:spacing w:before="93" w:line="227" w:lineRule="auto"/>
              <w:ind w:left="1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>
            <w:pPr>
              <w:spacing w:before="93" w:line="227" w:lineRule="auto"/>
              <w:ind w:left="1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>
            <w:pPr>
              <w:spacing w:before="90" w:line="226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服务报告。</w:t>
            </w:r>
          </w:p>
          <w:p>
            <w:pPr>
              <w:spacing w:before="94" w:line="227" w:lineRule="auto"/>
              <w:ind w:left="12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ISO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</w:pPr>
      <w:bookmarkStart w:id="18" w:name="_Toc88"/>
      <w:r>
        <w:rPr>
          <w:rFonts w:hint="eastAsia"/>
          <w:lang w:val="en-US" w:eastAsia="zh-CN"/>
        </w:rPr>
        <w:t>研发部</w:t>
      </w:r>
      <w:r>
        <w:t>经理</w:t>
      </w:r>
      <w:bookmarkEnd w:id="18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研发部经理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副总经理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</w:t>
            </w:r>
            <w:r>
              <w:rPr>
                <w:rFonts w:ascii="宋体" w:eastAsia="宋体" w:hAnsi="宋体" w:cs="宋体" w:hint="eastAsia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>
            <w:pPr>
              <w:numPr>
                <w:ilvl w:val="0"/>
                <w:numId w:val="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eastAsia="宋体" w:hAnsi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ISO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Style w:val="1Char"/>
          <w:rFonts w:eastAsia="宋体" w:hint="eastAsia"/>
          <w:lang w:val="en-US" w:eastAsia="zh-CN"/>
        </w:rPr>
      </w:pPr>
      <w:bookmarkStart w:id="19" w:name="bookmark3"/>
      <w:bookmarkEnd w:id="19"/>
      <w:bookmarkStart w:id="20" w:name="_Toc17424"/>
      <w:r>
        <w:rPr>
          <w:rStyle w:val="1Char"/>
          <w:rFonts w:eastAsia="宋体" w:hint="eastAsia"/>
          <w:lang w:val="en-US" w:eastAsia="zh-CN"/>
        </w:rPr>
        <w:br w:type="page"/>
      </w:r>
    </w:p>
    <w:p>
      <w:pPr>
        <w:pStyle w:val="2"/>
        <w:bidi w:val="0"/>
      </w:pPr>
      <w:bookmarkStart w:id="21" w:name="_Toc20370"/>
      <w:r>
        <w:rPr>
          <w:rFonts w:hint="eastAsia"/>
          <w:lang w:val="en-US" w:eastAsia="zh-CN"/>
        </w:rPr>
        <w:t>研发项目</w:t>
      </w:r>
      <w:r>
        <w:t>经理</w:t>
      </w:r>
      <w:bookmarkEnd w:id="2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</w:t>
            </w:r>
            <w:r>
              <w:rPr>
                <w:rFonts w:ascii="宋体" w:eastAsia="宋体" w:hAnsi="宋体" w:cs="宋体" w:hint="eastAsia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成功交付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>
            <w:pPr>
              <w:numPr>
                <w:ilvl w:val="0"/>
                <w:numId w:val="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eastAsia="宋体" w:hAnsi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eastAsia="宋体" w:hAnsi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eastAsia="宋体" w:hAnsi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</w:pPr>
      <w:bookmarkStart w:id="22" w:name="_Toc27811"/>
      <w:r>
        <w:rPr>
          <w:rFonts w:hint="eastAsia"/>
          <w:lang w:val="en-US" w:eastAsia="zh-CN"/>
        </w:rPr>
        <w:t>备件库</w:t>
      </w:r>
      <w:r>
        <w:t>经理</w:t>
      </w:r>
      <w:bookmarkEnd w:id="22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交付部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>
            <w:pPr>
              <w:numPr>
                <w:ilvl w:val="0"/>
                <w:numId w:val="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>
      <w:pPr>
        <w:pStyle w:val="2"/>
        <w:bidi w:val="0"/>
      </w:pPr>
      <w:r>
        <w:rPr>
          <w:rStyle w:val="1Char"/>
          <w:rFonts w:eastAsia="宋体" w:hint="eastAsia"/>
          <w:lang w:val="en-US" w:eastAsia="zh-CN"/>
        </w:rPr>
        <w:br w:type="page"/>
      </w:r>
      <w:bookmarkStart w:id="23" w:name="_Toc9950"/>
      <w:r>
        <w:rPr>
          <w:rFonts w:hint="eastAsia"/>
          <w:lang w:val="en-US" w:eastAsia="zh-CN"/>
        </w:rPr>
        <w:t>服务知识</w:t>
      </w:r>
      <w:r>
        <w:t>经理</w:t>
      </w:r>
      <w:bookmarkEnd w:id="2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交付部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知识体系搭建：设计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推广与培训：向全员推广</w:t>
            </w: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的使用，培养知识共享文化，并组织培训提升员工的知识撰写和利用能力。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>
            <w:pPr>
              <w:numPr>
                <w:ilvl w:val="0"/>
                <w:numId w:val="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0" w:right="0" w:firstLine="0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>
      <w:pPr>
        <w:pStyle w:val="2"/>
        <w:bidi w:val="0"/>
      </w:pPr>
      <w:r>
        <w:rPr>
          <w:rStyle w:val="1Char"/>
          <w:rFonts w:eastAsia="宋体" w:hint="eastAsia"/>
          <w:lang w:val="en-US" w:eastAsia="zh-CN"/>
        </w:rPr>
        <w:br w:type="page"/>
      </w:r>
      <w:bookmarkStart w:id="24" w:name="_Toc28373"/>
      <w:r>
        <w:rPr>
          <w:rFonts w:hint="eastAsia"/>
          <w:lang w:val="en-US" w:eastAsia="zh-CN"/>
        </w:rPr>
        <w:t>质量部</w:t>
      </w:r>
      <w:r>
        <w:t>经理</w:t>
      </w:r>
      <w:bookmarkEnd w:id="2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ascii="宋体" w:eastAsia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质量体系建立与维护：负责建立、实施、维护和改进公司的质量管理体系（如ISO9001、IATF16949、GMP等），确保体系有效运行并通过内外部审核。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质量监控与数据分析：领导团队开展来料检验（IQC）、过程检验（IPQC）、最终检验（FQC/OQC）工作，监控质量数据（如良率、报废率、客户投诉率），运用SPC等工具进行分析，为决策提供依据。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客户投诉与改进处理：主导客户投诉、退货的调查、分析与处理（8D/5Why），组织制定纠正与预防措施（CAPA），并跟踪验证其有效性，直至问题关闭。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>
            <w:pPr>
              <w:numPr>
                <w:ilvl w:val="0"/>
                <w:numId w:val="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  <w:r>
        <w:rPr>
          <w:rStyle w:val="1Char"/>
          <w:rFonts w:eastAsia="宋体" w:hint="eastAsia"/>
          <w:lang w:val="en-US" w:eastAsia="zh-CN"/>
        </w:rPr>
        <w:br w:type="page"/>
      </w:r>
    </w:p>
    <w:p>
      <w:pPr>
        <w:pStyle w:val="2"/>
        <w:bidi w:val="0"/>
      </w:pPr>
      <w:bookmarkStart w:id="25" w:name="_Toc29231"/>
      <w:r>
        <w:rPr>
          <w:rFonts w:hint="eastAsia"/>
          <w:lang w:val="en-US" w:eastAsia="zh-CN"/>
        </w:rPr>
        <w:t>采购部</w:t>
      </w:r>
      <w:r>
        <w:t>经理</w:t>
      </w:r>
      <w:bookmarkEnd w:id="25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  <w:p>
            <w:pPr>
              <w:numPr>
                <w:ilvl w:val="0"/>
                <w:numId w:val="1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可持续发展与ESG推进：将环境、社会和治理（ESG）因素纳入采购决策，推动绿色采购和供应商的社会责任管理。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</w:p>
    <w:p>
      <w:pPr>
        <w:rPr>
          <w:rStyle w:val="1Char"/>
          <w:rFonts w:eastAsia="宋体" w:hint="default"/>
          <w:lang w:val="en-US" w:eastAsia="zh-CN"/>
        </w:rPr>
      </w:pPr>
      <w:r>
        <w:rPr>
          <w:rStyle w:val="1Char"/>
          <w:rFonts w:eastAsia="宋体"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26" w:name="_Toc22743"/>
      <w:r>
        <w:rPr>
          <w:rFonts w:hint="eastAsia"/>
          <w:lang w:val="en-US" w:eastAsia="zh-CN"/>
        </w:rPr>
        <w:t>综合部经理</w:t>
      </w:r>
      <w:bookmarkEnd w:id="2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综合部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10"/>
                <w:sz w:val="20"/>
                <w:szCs w:val="20"/>
                <w:lang w:val="en-US" w:eastAsia="zh-CN"/>
              </w:rPr>
              <w:t>人力资源相关制度的制定与审核，人力资源计划的制定与审核，人力资源报告的制定与审核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人力资源规划与岗位设计：根据ITSS认证要求与业务发展目标，规划运维团队结构与人员数量，设计并维护符合标准的岗位职责说明书与胜任力模型。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人员能力评估与档案管理：建立并实施运维人员技能评估机制，定期考核；建立和维护完整的人员能力档案（含资质、培训、经验记录），作为认证核心证据。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培训体系开发与实施：依据ITSS能力要求，制定并执行专项培训计划，管理培训过程，并保留完整的培训记录与效果评估报告。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绩效管理与激励：将ITSS流程执行效果（如服务效率、客户满意度）纳入运维团队绩效考核体系，并设计相关激励措施。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认证标准落地与流程制度建立：负责人力资源相关制度与流程（如人员管理、培训管理程序）的建立、文档编制与持续优化，确保符合ITSS规范。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审核配合与问题整改：作为人力资源接口人，配合内外审工作，提供所需材料；针对审核发现的人力资源相关问题，牵头进行整改。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人才梯队与职业发展建设：基于ITSS成长模型，设计运维人员的职业发展路径与晋升通道，建立关键岗位后备人才储备机制。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数据监控与分析报告：定期分析人员能力、培训覆盖率、绩效等数据，形成报告以支持管理决策与持续改进。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跨部门协同与业务支持：与运维、质量等部门紧密协作，确保人员能力、配置与流程要求相匹配，支持服务交付的优化。</w:t>
            </w:r>
          </w:p>
          <w:p>
            <w:pPr>
              <w:numPr>
                <w:ilvl w:val="0"/>
                <w:numId w:val="1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团队管理与日常运营：负责人力资源部门的日常运作与团队管理，确保各项人员管理工作有序开展，支撑认证项目推进。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具备人力资源管理、企业管理、心理学或相关专业背景；了解IT服务管理或计算机基础者优先。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具备良好的沟通协调能力、公正严谨的职业操守、强烈的服务意识，以及持续改进的学习能力和应变能力。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掌握人力资源管理各模块知识，熟悉ITSS人员能力管理、培训体系建设及绩效管理方法；熟练使用HR系统（如SAP HR、钉钉氚云）、学习管理系统（LMS）及办公软件。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具备人力资源体系搭建与优化能力、数据分析与报告能力、跨部门协同推动能力，以及人才发展与组织诊断能力。持有人力资源管理师、ITSS服务经理或相关认证者优先。</w:t>
            </w:r>
          </w:p>
        </w:tc>
      </w:tr>
    </w:tbl>
    <w:p>
      <w:pPr>
        <w:rPr>
          <w:rStyle w:val="1Char"/>
          <w:rFonts w:eastAsia="宋体" w:hint="eastAsia"/>
          <w:lang w:val="en-US" w:eastAsia="zh-CN"/>
        </w:rPr>
      </w:pPr>
    </w:p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923"/>
      <w:r>
        <w:rPr>
          <w:rFonts w:hint="eastAsia"/>
          <w:lang w:val="en-US" w:eastAsia="zh-CN"/>
        </w:rPr>
        <w:t>服务台经理</w:t>
      </w:r>
      <w:bookmarkEnd w:id="27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管理岗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服务台日常运营与团队管理；服务流程与标准的制定、推行与优化；服务级别协议（SLA）达成与客户满意度管理。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全面负责服务台的日常运营与管理，确保服务请求、事件响应等流程高效、稳定运行，达成既定的服务级别协议（SLA）与客户满意度目标。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主导服务台相关流程与工作标准的制定、推行、培训与持续优化，确保其符合ITSS标准及公司质量管理体系要求。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负责服务台团队的建设、排班与能力发展规划。组织实施技能培训与考核，建立并维护团队人员技能矩阵，确保人员能力满足岗位要求。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建立服务监控机制，定期分析关键绩效指标（如首次解决率、平均响应时间、用户满意度），编制服务质量报告，并驱动基于数据的服务改进。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重大事件协调与升级管理：作为重大或突发事件的首要协调人，按预案启动升级流程，协调资源，确保事件得到快速解决，并组织事后复盘。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推动服务知识库的创建、审核、更新与应用，确保解决方案的准确性和共享效率，提升一线解决能力。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负责服务台管理系统（如ITSM工具）的日常维护、权限管理及功能优化建议，确保其稳定支持服务流程。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处理重大用户投诉与反馈，组织用户培训与沟通会，提升用户体验与服务感知。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参与制定并管理服务台运营预算，控制成本，提高资源使用效率。</w:t>
            </w:r>
          </w:p>
          <w:p>
            <w:pPr>
              <w:numPr>
                <w:ilvl w:val="0"/>
                <w:numId w:val="1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确保服务台所有操作符合内控及合规要求，并作为主要接口人配合内外部审计与ITSS认证审核。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具备计算机科学、信息管理、通信工程或相关专业背景。具备IT服务管理（ITIL）、项目管理知识者优先。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42" w:line="227" w:lineRule="auto"/>
              <w:ind w:left="11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具备出色的客户服务意识、清晰的逻辑思维与决策能力、强大的抗压能力与责任心，以及优秀的团队领导与沟通协调能力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精通IT服务管理（ITSM）流程，熟悉ITSS运维标准；熟练使用至少一种主流ITSM工具（如ServiceHot、Zendesk、Jira Service Desk）及办公软件。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tbl>
            <w:tblPr>
              <w:tblStyle w:val="TableNormal"/>
              <w:tblW w:w="9024" w:type="dxa"/>
              <w:tblInd w:w="-19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4"/>
            </w:tblGrid>
            <w:tr>
              <w:tblPrEx>
                <w:tblW w:w="9024" w:type="dxa"/>
                <w:tblInd w:w="-192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2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>
                  <w:pPr>
                    <w:spacing w:before="111" w:line="258" w:lineRule="auto"/>
                    <w:ind w:left="113" w:right="153" w:hanging="2" w:leftChars="0" w:rightChars="0" w:firstLineChars="0"/>
                    <w:jc w:val="both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shd w:val="clear" w:color="auto" w:fill="auto"/>
                      <w:lang w:val="en-US" w:eastAsia="zh-CN"/>
                    </w:rPr>
                    <w:t>具备服务流程设计与优化能力、数据分析与报告能力、团队激励与发展能力、以及出色的应急处理与跨部门协调能力。持有ITIL Expert、ITSS服务经理等相关认证者优先。</w:t>
                  </w:r>
                </w:p>
              </w:tc>
            </w:tr>
          </w:tbl>
          <w:p>
            <w:pPr>
              <w:spacing w:before="140" w:line="258" w:lineRule="auto"/>
              <w:ind w:left="111" w:right="105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22010"/>
      <w:r>
        <w:rPr>
          <w:rFonts w:hint="eastAsia"/>
          <w:lang w:val="en-US" w:eastAsia="zh-CN"/>
        </w:rPr>
        <w:t>技术岗岗位说明</w:t>
      </w:r>
      <w:bookmarkEnd w:id="28"/>
    </w:p>
    <w:p>
      <w:pPr>
        <w:pStyle w:val="2"/>
        <w:bidi w:val="0"/>
      </w:pPr>
      <w:bookmarkStart w:id="29" w:name="_Toc19871"/>
      <w:r>
        <w:t>软件运维工程师</w:t>
      </w:r>
      <w:bookmarkEnd w:id="29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JS001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系统部署与发布：负责公司软件系统、服务的线上部署、升级、发布与回滚，确保发布过程平稳高效。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7x24小时监控与值守：运用监控工具（如Prometheus,Zabbix,ELK）对应用性能、基础设施资源进行实时监控，及时响应并处理告警。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性能与成本优化：分析系统性能瓶颈，参与容量规划和性能调优；管理云资源，优化资源配置以控制成本。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>
            <w:pPr>
              <w:numPr>
                <w:ilvl w:val="0"/>
                <w:numId w:val="13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容器化与云原生技术实践：使用Docker、Kubernetes等容器化技术进行服务的编排和管理，构建弹性可扩展的云原生架构。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>
      <w:pPr>
        <w:pStyle w:val="2"/>
        <w:bidi w:val="0"/>
      </w:pPr>
      <w:bookmarkStart w:id="30" w:name="_Toc9767"/>
      <w:r>
        <w:t>研发工程师</w:t>
      </w:r>
      <w:bookmarkEnd w:id="30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>
            <w:pPr>
              <w:numPr>
                <w:ilvl w:val="0"/>
                <w:numId w:val="14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跨团队协作沟通：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与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测试工程师、</w:t>
            </w: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等角色紧密协作，确保信息对称和项目顺利推进。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>
      <w: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31" w:name="_Toc19926"/>
      <w:r>
        <w:rPr>
          <w:rFonts w:hint="eastAsia"/>
          <w:lang w:val="en-US" w:eastAsia="zh-CN"/>
        </w:rPr>
        <w:t>运维实施工程师</w:t>
      </w:r>
      <w:bookmarkEnd w:id="31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交付部经理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系统部署至客户现场，完成安装配置、数据迁移、用户培训和上线保障，确保项目成功交付和稳定运行，是连接技术产品与终端客户的关键桥梁。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>
            <w:pPr>
              <w:numPr>
                <w:ilvl w:val="0"/>
                <w:numId w:val="15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客户关系维护：提供优质的现场技术服务，维护客户关系，提升客户满意度和信任度。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2" w:name="_Toc13284"/>
      <w:r>
        <w:rPr>
          <w:rFonts w:hint="eastAsia"/>
          <w:lang w:val="en-US" w:eastAsia="zh-CN"/>
        </w:rPr>
        <w:t>测试工程师</w:t>
      </w:r>
      <w:bookmarkEnd w:id="32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参与需求评审，从测试角度提供输入，制定测试计划与方案。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设计、编写和执行测试用例（功能/集成/回归测试），提交并跟踪缺陷。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开发与维护自动化测试脚本，提升回归测试效率。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执行性能、安全等专项测试，识别系统瓶颈与风险。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提交清晰详细的缺陷报告，并协同开发人员定位和复现问题。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整理测试报告，评估版本质量，为发布提供决策依据。</w:t>
            </w:r>
          </w:p>
          <w:p>
            <w:pPr>
              <w:numPr>
                <w:ilvl w:val="0"/>
                <w:numId w:val="16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维护和优化测试环境、测试数据及测试工具。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3" w:name="_Toc22429"/>
      <w:r>
        <w:rPr>
          <w:rFonts w:hint="eastAsia"/>
          <w:lang w:val="en-US" w:eastAsia="zh-CN"/>
        </w:rPr>
        <w:t>网络工程师</w:t>
      </w:r>
      <w:bookmarkEnd w:id="33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JS005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负责设计、部署、运维和优化公司的数据通信网络（如局域网、广域网、无线网、云网络），确保网络系统7x24小时稳定、安全、高效运行，为各项业务提供可靠的网络连接保障。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网络监控与故障排除：使用监控工具（如Zabbix,SolarWinds）实时监控网络性能与流量，快速定位、诊断并解决网络中断、延迟等各类故障。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文档。</w:t>
            </w:r>
          </w:p>
          <w:p>
            <w:pPr>
              <w:numPr>
                <w:ilvl w:val="0"/>
                <w:numId w:val="17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25399"/>
      <w:r>
        <w:rPr>
          <w:rFonts w:hint="eastAsia"/>
          <w:lang w:val="en-US" w:eastAsia="zh-CN"/>
        </w:rPr>
        <w:t>需求工程师</w:t>
      </w:r>
      <w:bookmarkEnd w:id="34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JS006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>
            <w:pPr>
              <w:numPr>
                <w:ilvl w:val="0"/>
                <w:numId w:val="18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精通需求获取、分析和建模方法，熟练掌握用户故事、用例、流程图等工具。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熟练使用Axure RP、Figma、Xmind、Visio等需求分析与原型设计工具。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熟练使用Confluence、Jira等协作与项目管理工具。</w:t>
            </w:r>
          </w:p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具备良好的技术理解力，能与开发人员顺畅交流技术实现方案。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具备出色的抽象概括、分析解决问题、文档编写和引导协调能力。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5" w:name="_Toc12999"/>
      <w:r>
        <w:rPr>
          <w:rFonts w:hint="eastAsia"/>
          <w:lang w:val="en-US" w:eastAsia="zh-CN"/>
        </w:rPr>
        <w:t>操作岗岗位说明</w:t>
      </w:r>
      <w:bookmarkEnd w:id="35"/>
    </w:p>
    <w:p>
      <w:pPr>
        <w:pStyle w:val="2"/>
        <w:bidi w:val="0"/>
      </w:pPr>
      <w:bookmarkStart w:id="36" w:name="_Toc10477"/>
      <w:r>
        <w:t>服务台专员</w:t>
      </w:r>
      <w:bookmarkEnd w:id="36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CZ001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；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一线问题解决：利用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文档，提升团队整体解决效率。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>
            <w:pPr>
              <w:numPr>
                <w:ilvl w:val="0"/>
                <w:numId w:val="19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>
      <w:r>
        <w:br w:type="page"/>
      </w:r>
    </w:p>
    <w:p>
      <w:pPr>
        <w:pStyle w:val="2"/>
        <w:bidi w:val="0"/>
      </w:pPr>
      <w:bookmarkStart w:id="37" w:name="_Toc9259"/>
      <w:r>
        <w:t>质量管理员</w:t>
      </w:r>
      <w:bookmarkEnd w:id="37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质量部经理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CZ002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>
            <w:pPr>
              <w:numPr>
                <w:ilvl w:val="0"/>
                <w:numId w:val="20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>
      <w: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38" w:name="_Toc13521"/>
      <w:r>
        <w:rPr>
          <w:rFonts w:hint="eastAsia"/>
          <w:lang w:val="en-US" w:eastAsia="zh-CN"/>
        </w:rPr>
        <w:t>备件库管理专员</w:t>
      </w:r>
      <w:bookmarkEnd w:id="38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CZ003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>
            <w:pPr>
              <w:numPr>
                <w:ilvl w:val="0"/>
                <w:numId w:val="21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熟悉仓储作业流程；能熟练操作仓储管理系统或ERP中的库存模块；具备基础的Office办公软件操作能力。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26992"/>
      <w:r>
        <w:rPr>
          <w:rFonts w:hint="eastAsia"/>
          <w:lang w:val="en-US" w:eastAsia="zh-CN"/>
        </w:rPr>
        <w:t>服务知识管理员</w:t>
      </w:r>
      <w:bookmarkEnd w:id="39"/>
    </w:p>
    <w:tbl>
      <w:tblPr>
        <w:tblStyle w:val="TableNormal0"/>
        <w:tblW w:w="8889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>
        <w:tblPrEx>
          <w:tblW w:w="8889" w:type="dxa"/>
          <w:tblInd w:w="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/>
        </w:trPr>
        <w:tc>
          <w:tcPr>
            <w:tcW w:w="1725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23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sz="2" w:space="0" w:color="000000"/>
            </w:tcBorders>
          </w:tcPr>
          <w:p>
            <w:pPr>
              <w:spacing w:before="223" w:line="228" w:lineRule="auto"/>
              <w:ind w:left="7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sz="2" w:space="0" w:color="000000"/>
            </w:tcBorders>
          </w:tcPr>
          <w:p>
            <w:pPr>
              <w:spacing w:before="223" w:line="229" w:lineRule="auto"/>
              <w:ind w:left="30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24" w:line="227" w:lineRule="auto"/>
              <w:ind w:left="1007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2" w:line="228" w:lineRule="auto"/>
              <w:ind w:left="48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>
            <w:pPr>
              <w:spacing w:before="192" w:line="268" w:lineRule="exact"/>
              <w:ind w:left="1075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CZ004</w:t>
            </w:r>
          </w:p>
        </w:tc>
        <w:tc>
          <w:tcPr>
            <w:tcW w:w="1427" w:type="dxa"/>
          </w:tcPr>
          <w:p>
            <w:pPr>
              <w:spacing w:before="192" w:line="227" w:lineRule="auto"/>
              <w:ind w:left="3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sz="2" w:space="0" w:color="000000"/>
            </w:tcBorders>
          </w:tcPr>
          <w:p>
            <w:pPr>
              <w:spacing w:before="192" w:line="227" w:lineRule="auto"/>
              <w:ind w:left="121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操作岗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272" w:line="227" w:lineRule="auto"/>
              <w:ind w:left="45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19" w:line="287" w:lineRule="auto"/>
              <w:ind w:left="110" w:right="112" w:firstLine="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spacing w:before="143" w:line="227" w:lineRule="auto"/>
              <w:ind w:left="10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/>
        </w:trPr>
        <w:tc>
          <w:tcPr>
            <w:tcW w:w="1725" w:type="dxa"/>
            <w:tcBorders>
              <w:left w:val="single" w:sz="2" w:space="0" w:color="000000"/>
            </w:tcBorders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5" w:line="288" w:lineRule="auto"/>
              <w:ind w:left="127" w:right="1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sz="2" w:space="0" w:color="000000"/>
            </w:tcBorders>
          </w:tcPr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>
            <w:pPr>
              <w:numPr>
                <w:ilvl w:val="0"/>
                <w:numId w:val="22"/>
              </w:numPr>
              <w:spacing w:before="94" w:line="227" w:lineRule="auto"/>
              <w:ind w:left="425" w:hanging="425" w:leftChars="0" w:firstLineChars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725" w:type="dxa"/>
            <w:vMerge w:val="restart"/>
            <w:tcBorders>
              <w:left w:val="single" w:sz="2" w:space="0" w:color="000000"/>
            </w:tcBorders>
            <w:shd w:val="clear" w:color="auto" w:fill="auto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spacing w:before="65" w:line="287" w:lineRule="auto"/>
              <w:ind w:left="133" w:right="112" w:hanging="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8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sz="2" w:space="0" w:color="000000"/>
            </w:tcBorders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46" w:line="227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95" w:line="227" w:lineRule="auto"/>
              <w:ind w:left="1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34" w:line="228" w:lineRule="auto"/>
              <w:ind w:left="209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243" w:line="227" w:lineRule="auto"/>
              <w:ind w:left="1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cs="宋体" w:hint="eastAsia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cs="宋体" w:hint="eastAsia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pStyle w:val="TableText"/>
              <w:spacing w:line="313" w:lineRule="auto"/>
            </w:pPr>
          </w:p>
          <w:p>
            <w:pPr>
              <w:spacing w:before="65" w:line="228" w:lineRule="auto"/>
              <w:ind w:left="20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>
        <w:tblPrEx>
          <w:tblW w:w="8889" w:type="dxa"/>
          <w:tblInd w:w="1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725" w:type="dxa"/>
            <w:vMerge/>
            <w:tcBorders>
              <w:left w:val="single" w:sz="2" w:space="0" w:color="000000"/>
            </w:tcBorders>
          </w:tcPr>
          <w:p>
            <w:pPr>
              <w:spacing w:before="193" w:line="227" w:lineRule="auto"/>
              <w:ind w:left="459"/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>
            <w:pPr>
              <w:spacing w:before="269" w:line="227" w:lineRule="auto"/>
              <w:ind w:left="21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>
            <w:pPr>
              <w:spacing w:before="111" w:line="258" w:lineRule="auto"/>
              <w:ind w:left="113" w:right="153" w:hanging="2" w:leftChars="0" w:rightChars="0" w:firstLine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0" w:name="_Toc3793"/>
      <w:r>
        <w:rPr>
          <w:rStyle w:val="1Char"/>
          <w:rFonts w:eastAsia="宋体" w:hint="eastAsia"/>
          <w:lang w:val="en-US" w:eastAsia="zh-CN"/>
        </w:rPr>
        <w:t>附则</w:t>
      </w:r>
      <w:bookmarkEnd w:id="20"/>
      <w:bookmarkEnd w:id="40"/>
    </w:p>
    <w:p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  <w:bookmarkStart w:id="41" w:name="bookmark14"/>
      <w:bookmarkEnd w:id="41"/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95AF9C"/>
    <w:multiLevelType w:val="singleLevel"/>
    <w:tmpl w:val="8395AF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DC96521"/>
    <w:multiLevelType w:val="singleLevel"/>
    <w:tmpl w:val="0DC965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2D3F849"/>
    <w:multiLevelType w:val="singleLevel"/>
    <w:tmpl w:val="22D3F84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DC0A31"/>
    <w:multiLevelType w:val="singleLevel"/>
    <w:tmpl w:val="2CDC0A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058B79C"/>
    <w:multiLevelType w:val="singleLevel"/>
    <w:tmpl w:val="3058B7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F467294"/>
    <w:multiLevelType w:val="singleLevel"/>
    <w:tmpl w:val="3F4672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7FAACBC"/>
    <w:multiLevelType w:val="singleLevel"/>
    <w:tmpl w:val="47FAAC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876334C"/>
    <w:multiLevelType w:val="singleLevel"/>
    <w:tmpl w:val="487633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8DA1C4C"/>
    <w:multiLevelType w:val="singleLevel"/>
    <w:tmpl w:val="78DA1C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B33AE6F"/>
    <w:multiLevelType w:val="singleLevel"/>
    <w:tmpl w:val="7B33A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7E6C5E6F"/>
    <w:multiLevelType w:val="singleLevel"/>
    <w:tmpl w:val="7E6C5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3"/>
  </w:num>
  <w:num w:numId="5">
    <w:abstractNumId w:val="8"/>
  </w:num>
  <w:num w:numId="6">
    <w:abstractNumId w:val="6"/>
  </w:num>
  <w:num w:numId="7">
    <w:abstractNumId w:val="20"/>
  </w:num>
  <w:num w:numId="8">
    <w:abstractNumId w:val="3"/>
  </w:num>
  <w:num w:numId="9">
    <w:abstractNumId w:val="0"/>
  </w:num>
  <w:num w:numId="10">
    <w:abstractNumId w:val="15"/>
  </w:num>
  <w:num w:numId="11">
    <w:abstractNumId w:val="18"/>
  </w:num>
  <w:num w:numId="12">
    <w:abstractNumId w:val="21"/>
  </w:num>
  <w:num w:numId="13">
    <w:abstractNumId w:val="5"/>
  </w:num>
  <w:num w:numId="14">
    <w:abstractNumId w:val="22"/>
  </w:num>
  <w:num w:numId="15">
    <w:abstractNumId w:val="4"/>
  </w:num>
  <w:num w:numId="16">
    <w:abstractNumId w:val="19"/>
  </w:num>
  <w:num w:numId="17">
    <w:abstractNumId w:val="11"/>
  </w:num>
  <w:num w:numId="18">
    <w:abstractNumId w:val="14"/>
  </w:num>
  <w:num w:numId="19">
    <w:abstractNumId w:val="12"/>
  </w:num>
  <w:num w:numId="20">
    <w:abstractNumId w:val="9"/>
  </w:num>
  <w:num w:numId="21">
    <w:abstractNumId w:val="1"/>
  </w:num>
  <w:num w:numId="22">
    <w:abstractNumId w:val="17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TOC2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18342</Words>
  <Characters>19371</Characters>
  <Application>Microsoft Office Word</Application>
  <DocSecurity>0</DocSecurity>
  <Lines>0</Lines>
  <Paragraphs>0</Paragraphs>
  <ScaleCrop>false</ScaleCrop>
  <Company/>
  <LinksUpToDate>false</LinksUpToDate>
  <CharactersWithSpaces>19839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2025-12-29T06:11:23Z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